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bookmarkStart w:id="0" w:name="_Toc120614210"/>
      <w:r/>
      <w:bookmarkStart w:id="1" w:name="_Toc513029200"/>
      <w:r/>
      <w:bookmarkStart w:id="2" w:name="_Toc523127445"/>
      <w:r/>
      <w:bookmarkStart w:id="3" w:name="_Toc16938516"/>
      <w:r/>
      <w:bookmarkStart w:id="4" w:name="_Toc20823272"/>
      <w:r/>
      <w:bookmarkStart w:id="5" w:name="_Toc479757206"/>
      <w:r/>
      <w:r/>
    </w:p>
    <w:p>
      <w:pPr>
        <w:pStyle w:val="921"/>
        <w:rPr>
          <w:rFonts w:hint="eastAsia"/>
        </w:rPr>
      </w:pPr>
      <w:r>
        <w:rPr>
          <w:rFonts w:hint="eastAsia"/>
        </w:rPr>
      </w:r>
      <w:r/>
    </w:p>
    <w:p>
      <w:pPr>
        <w:pStyle w:val="936"/>
        <w:jc w:val="center"/>
        <w:rPr>
          <w:rFonts w:hint="eastAsia" w:eastAsia="黑体"/>
          <w:b/>
          <w:bCs/>
          <w:sz w:val="84"/>
        </w:rPr>
      </w:pPr>
      <w:r>
        <w:rPr>
          <w:rFonts w:hint="eastAsia" w:eastAsia="黑体"/>
          <w:b/>
          <w:bCs/>
          <w:sz w:val="84"/>
        </w:rPr>
        <w:t xml:space="preserve">招　标　文　件</w:t>
      </w:r>
      <w:r/>
    </w:p>
    <w:p>
      <w:pPr>
        <w:ind w:firstLine="1506"/>
        <w:rPr>
          <w:b/>
          <w:sz w:val="30"/>
          <w:szCs w:val="30"/>
          <w:u w:val="single"/>
        </w:rPr>
      </w:pPr>
      <w:r>
        <w:rPr>
          <w:rFonts w:hint="eastAsia"/>
          <w:b/>
          <w:sz w:val="30"/>
          <w:szCs w:val="30"/>
        </w:rPr>
        <w:t xml:space="preserve">项目名称：</w:t>
      </w:r>
      <w:r>
        <w:rPr>
          <w:rFonts w:hint="eastAsia"/>
          <w:b/>
          <w:sz w:val="32"/>
          <w:szCs w:val="32"/>
          <w:lang w:eastAsia="zh-CN"/>
        </w:rPr>
        <w:t xml:space="preserve">南京鼓楼医院智慧教学一体化信息管理平台</w:t>
      </w:r>
      <w:r>
        <w:rPr>
          <w:rFonts w:hint="eastAsia"/>
          <w:b/>
          <w:sz w:val="32"/>
          <w:szCs w:val="32"/>
        </w:rPr>
        <w:t xml:space="preserve"> </w:t>
      </w:r>
      <w:r/>
    </w:p>
    <w:p>
      <w:pPr>
        <w:ind w:firstLine="1506"/>
        <w:rPr>
          <w:rFonts w:hint="eastAsia"/>
          <w:b/>
          <w:sz w:val="30"/>
          <w:szCs w:val="30"/>
        </w:rPr>
      </w:pPr>
      <w:r>
        <w:rPr>
          <w:rFonts w:hint="eastAsia"/>
          <w:b/>
          <w:sz w:val="30"/>
          <w:szCs w:val="30"/>
        </w:rPr>
        <w:t xml:space="preserve">项目编号：</w:t>
      </w:r>
      <w:r>
        <w:rPr>
          <w:rFonts w:hint="eastAsia"/>
          <w:b/>
          <w:sz w:val="32"/>
          <w:szCs w:val="32"/>
          <w:lang w:eastAsia="zh-CN"/>
        </w:rPr>
        <w:t xml:space="preserve">JSZC-320100-JZCG-G2025-0445</w:t>
      </w:r>
      <w:r>
        <w:rPr>
          <w:rFonts w:hint="eastAsia"/>
          <w:b/>
          <w:sz w:val="30"/>
          <w:szCs w:val="30"/>
        </w:rPr>
        <w:t xml:space="preserve">              </w:t>
      </w:r>
      <w:r/>
    </w:p>
    <w:p>
      <w:pPr>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7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40"/>
        <w:rPr>
          <w:rFonts w:hint="eastAsia"/>
        </w:rPr>
      </w:pPr>
      <w:r>
        <w:rPr>
          <w:rFonts w:hint="eastAsia"/>
        </w:rPr>
      </w:r>
      <w:r/>
    </w:p>
    <w:p>
      <w:pPr>
        <w:pStyle w:val="936"/>
        <w:ind w:firstLine="0"/>
        <w:jc w:val="center"/>
        <w:rPr>
          <w:rFonts w:hint="eastAsia"/>
          <w:b/>
          <w:bCs/>
          <w:sz w:val="32"/>
        </w:rPr>
      </w:pPr>
      <w:r>
        <w:rPr>
          <w:rFonts w:hint="eastAsia"/>
          <w:b/>
          <w:bCs/>
          <w:sz w:val="32"/>
        </w:rPr>
        <w:t xml:space="preserve">南京市公共资源交易中心</w:t>
      </w:r>
      <w:r/>
    </w:p>
    <w:p>
      <w:pPr>
        <w:jc w:val="center"/>
        <w:rPr>
          <w:rFonts w:hint="eastAsia"/>
          <w:b/>
          <w:sz w:val="32"/>
          <w:szCs w:val="32"/>
        </w:rPr>
      </w:pPr>
      <w:r>
        <w:rPr>
          <w:rFonts w:hint="eastAsia"/>
          <w:b/>
          <w:sz w:val="32"/>
          <w:szCs w:val="32"/>
        </w:rPr>
        <w:t xml:space="preserve">2025年1</w:t>
      </w:r>
      <w:r>
        <w:rPr>
          <w:rFonts w:hint="eastAsia"/>
          <w:b/>
          <w:sz w:val="32"/>
          <w:szCs w:val="32"/>
          <w:lang w:val="en-US" w:eastAsia="zh-CN"/>
        </w:rPr>
        <w:t xml:space="preserve">1</w:t>
      </w:r>
      <w:r>
        <w:rPr>
          <w:rFonts w:hint="eastAsia"/>
          <w:b/>
          <w:sz w:val="32"/>
          <w:szCs w:val="32"/>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40"/>
        <w:rPr>
          <w:rFonts w:hint="eastAsia"/>
        </w:rPr>
      </w:pPr>
      <w:r>
        <w:rPr>
          <w:rFonts w:hint="eastAsia"/>
        </w:rPr>
      </w:r>
      <w:r/>
    </w:p>
    <w:p>
      <w:pPr>
        <w:rPr>
          <w:rFonts w:hint="eastAsia"/>
        </w:rPr>
      </w:pPr>
      <w:r>
        <w:rPr>
          <w:rFonts w:hint="eastAsia"/>
        </w:rPr>
      </w:r>
      <w:r/>
    </w:p>
    <w:p>
      <w:pPr>
        <w:pStyle w:val="740"/>
        <w:rPr>
          <w:rFonts w:hint="eastAsia"/>
        </w:rPr>
      </w:pPr>
      <w:r>
        <w:rPr>
          <w:rFonts w:hint="eastAsia"/>
        </w:rPr>
      </w:r>
      <w:r/>
    </w:p>
    <w:p>
      <w:pPr>
        <w:pStyle w:val="921"/>
        <w:rPr>
          <w:rFonts w:hint="eastAsia"/>
        </w:rPr>
      </w:pPr>
      <w:r>
        <w:rPr>
          <w:rFonts w:hint="eastAsia"/>
        </w:rPr>
      </w:r>
      <w:r/>
    </w:p>
    <w:p>
      <w:pPr>
        <w:jc w:val="center"/>
        <w:spacing w:line="480" w:lineRule="auto"/>
        <w:rPr>
          <w:rFonts w:hint="eastAsia" w:ascii="黑体" w:hAnsi="Arial" w:eastAsia="黑体"/>
          <w:b/>
          <w:color w:val="000000"/>
          <w:sz w:val="44"/>
        </w:rPr>
        <w:outlineLvl w:val="0"/>
      </w:pP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4"/>
        </w:numPr>
        <w:jc w:val="center"/>
        <w:spacing w:line="960" w:lineRule="auto"/>
        <w:rPr>
          <w:rFonts w:hint="eastAsia" w:ascii="黑体" w:hAnsi="宋体" w:eastAsia="黑体"/>
          <w:color w:val="auto"/>
          <w:sz w:val="36"/>
        </w:rPr>
        <w:outlineLvl w:val="1"/>
      </w:pPr>
      <w:r>
        <w:rPr>
          <w:rFonts w:hint="eastAsia" w:ascii="黑体" w:hAnsi="宋体" w:eastAsia="黑体"/>
          <w:sz w:val="36"/>
        </w:rPr>
        <w:t xml:space="preserve">投标邀请…………………………………</w:t>
      </w:r>
      <w:r>
        <w:rPr>
          <w:rFonts w:hint="eastAsia" w:ascii="黑体" w:hAnsi="宋体" w:eastAsia="黑体"/>
          <w:color w:val="auto"/>
          <w:sz w:val="36"/>
        </w:rPr>
        <w:t xml:space="preserve">… 2</w:t>
      </w:r>
      <w:r/>
    </w:p>
    <w:p>
      <w:pPr>
        <w:numPr>
          <w:ilvl w:val="0"/>
          <w:numId w:val="4"/>
        </w:numPr>
        <w:jc w:val="center"/>
        <w:spacing w:line="960" w:lineRule="auto"/>
        <w:rPr>
          <w:rFonts w:hint="eastAsia" w:ascii="黑体" w:hAnsi="宋体" w:eastAsia="黑体"/>
          <w:color w:val="auto"/>
          <w:sz w:val="36"/>
        </w:rPr>
        <w:outlineLvl w:val="1"/>
      </w:pPr>
      <w:r>
        <w:rPr>
          <w:rFonts w:hint="eastAsia" w:ascii="黑体" w:hAnsi="宋体" w:eastAsia="黑体"/>
          <w:color w:val="auto"/>
          <w:sz w:val="36"/>
        </w:rPr>
        <w:t xml:space="preserve">投标人须知………………………………… </w:t>
      </w:r>
      <w:r>
        <w:rPr>
          <w:rFonts w:hint="eastAsia" w:ascii="黑体" w:hAnsi="宋体" w:eastAsia="黑体"/>
          <w:color w:val="auto"/>
          <w:sz w:val="36"/>
          <w:lang w:val="en-US" w:eastAsia="zh-CN"/>
        </w:rPr>
        <w:t xml:space="preserve">4</w:t>
      </w:r>
      <w:r/>
    </w:p>
    <w:p>
      <w:pPr>
        <w:numPr>
          <w:ilvl w:val="0"/>
          <w:numId w:val="4"/>
        </w:numPr>
        <w:jc w:val="center"/>
        <w:spacing w:line="960" w:lineRule="auto"/>
        <w:rPr>
          <w:rFonts w:hint="eastAsia" w:ascii="黑体" w:hAnsi="宋体" w:eastAsia="黑体"/>
          <w:color w:val="auto"/>
          <w:sz w:val="36"/>
        </w:rPr>
        <w:outlineLvl w:val="1"/>
      </w:pPr>
      <w:r>
        <w:rPr>
          <w:rFonts w:hint="eastAsia" w:ascii="黑体" w:hAnsi="宋体" w:eastAsia="黑体"/>
          <w:color w:val="auto"/>
          <w:sz w:val="36"/>
        </w:rPr>
        <w:t xml:space="preserve">合同文本……………………………………1</w:t>
      </w:r>
      <w:r>
        <w:rPr>
          <w:rFonts w:hint="eastAsia" w:ascii="黑体" w:hAnsi="宋体" w:eastAsia="黑体"/>
          <w:color w:val="auto"/>
          <w:sz w:val="36"/>
          <w:lang w:val="en-US" w:eastAsia="zh-CN"/>
        </w:rPr>
        <w:t xml:space="preserve">4</w:t>
      </w:r>
      <w:r/>
    </w:p>
    <w:p>
      <w:pPr>
        <w:numPr>
          <w:ilvl w:val="0"/>
          <w:numId w:val="4"/>
        </w:numPr>
        <w:jc w:val="center"/>
        <w:spacing w:line="960" w:lineRule="auto"/>
        <w:rPr>
          <w:rFonts w:hint="eastAsia" w:ascii="黑体" w:hAnsi="宋体" w:eastAsia="黑体"/>
          <w:color w:val="auto"/>
          <w:sz w:val="36"/>
        </w:rPr>
        <w:outlineLvl w:val="1"/>
      </w:pPr>
      <w:r>
        <w:rPr>
          <w:rFonts w:hint="eastAsia" w:ascii="黑体" w:hAnsi="宋体" w:eastAsia="黑体"/>
          <w:color w:val="auto"/>
          <w:sz w:val="36"/>
        </w:rPr>
        <w:t xml:space="preserve">采购需求……………………………………1</w:t>
      </w:r>
      <w:r>
        <w:rPr>
          <w:rFonts w:hint="eastAsia" w:ascii="黑体" w:hAnsi="宋体" w:eastAsia="黑体"/>
          <w:color w:val="auto"/>
          <w:sz w:val="36"/>
          <w:lang w:val="en-US" w:eastAsia="zh-CN"/>
        </w:rPr>
        <w:t xml:space="preserve">7</w:t>
      </w:r>
      <w:r/>
    </w:p>
    <w:p>
      <w:pPr>
        <w:numPr>
          <w:ilvl w:val="0"/>
          <w:numId w:val="4"/>
        </w:numPr>
        <w:jc w:val="center"/>
        <w:spacing w:line="960" w:lineRule="auto"/>
        <w:rPr>
          <w:rFonts w:hint="eastAsia" w:ascii="黑体" w:hAnsi="宋体" w:eastAsia="黑体"/>
          <w:color w:val="auto"/>
          <w:sz w:val="36"/>
        </w:rPr>
        <w:outlineLvl w:val="1"/>
      </w:pPr>
      <w:r>
        <w:rPr>
          <w:rFonts w:hint="eastAsia" w:ascii="黑体" w:hAnsi="宋体" w:eastAsia="黑体"/>
          <w:color w:val="auto"/>
          <w:sz w:val="36"/>
        </w:rPr>
        <w:t xml:space="preserve">评标方法与评标标准………………………2</w:t>
      </w:r>
      <w:r>
        <w:rPr>
          <w:rFonts w:hint="eastAsia" w:ascii="黑体" w:hAnsi="宋体" w:eastAsia="黑体"/>
          <w:color w:val="auto"/>
          <w:sz w:val="36"/>
          <w:lang w:val="en-US" w:eastAsia="zh-CN"/>
        </w:rPr>
        <w:t xml:space="preserve">8</w:t>
      </w:r>
      <w:r/>
    </w:p>
    <w:p>
      <w:pPr>
        <w:numPr>
          <w:ilvl w:val="0"/>
          <w:numId w:val="4"/>
        </w:numPr>
        <w:jc w:val="center"/>
        <w:spacing w:line="960" w:lineRule="auto"/>
        <w:rPr>
          <w:rFonts w:hint="eastAsia" w:ascii="黑体" w:hAnsi="宋体" w:eastAsia="黑体"/>
          <w:color w:val="auto"/>
          <w:sz w:val="36"/>
        </w:rPr>
        <w:outlineLvl w:val="1"/>
      </w:pPr>
      <w:r>
        <w:rPr>
          <w:rFonts w:hint="eastAsia" w:ascii="黑体" w:hAnsi="宋体" w:eastAsia="黑体"/>
          <w:color w:val="auto"/>
          <w:sz w:val="36"/>
        </w:rPr>
        <w:t xml:space="preserve">投标文件格式………………………………</w:t>
      </w:r>
      <w:r>
        <w:rPr>
          <w:rFonts w:hint="eastAsia" w:ascii="黑体" w:hAnsi="宋体" w:eastAsia="黑体"/>
          <w:color w:val="auto"/>
          <w:sz w:val="36"/>
          <w:lang w:val="en-US" w:eastAsia="zh-CN"/>
        </w:rPr>
        <w:t xml:space="preserve">31</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ind w:firstLine="480"/>
        <w:spacing w:line="252" w:lineRule="auto"/>
        <w:rPr>
          <w:rFonts w:hint="eastAsia" w:ascii="宋体" w:hAnsi="宋体"/>
          <w:sz w:val="24"/>
          <w:szCs w:val="24"/>
        </w:rPr>
      </w:pPr>
      <w:r/>
      <w:bookmarkStart w:id="6" w:name="_Hlk24379207"/>
      <w:r/>
      <w:bookmarkStart w:id="7" w:name="_Toc28359002"/>
      <w:r/>
      <w:bookmarkStart w:id="8" w:name="_Toc35393790"/>
      <w:r/>
      <w:bookmarkStart w:id="9" w:name="_Toc28359079"/>
      <w:r/>
      <w:bookmarkStart w:id="10" w:name="_Toc38985263"/>
      <w:r/>
      <w:bookmarkStart w:id="11" w:name="_Toc35393621"/>
      <w:r/>
      <w:r/>
    </w:p>
    <w:p>
      <w:pPr>
        <w:ind w:firstLine="480"/>
        <w:spacing w:line="252" w:lineRule="auto"/>
        <w:rPr>
          <w:rFonts w:ascii="宋体" w:hAnsi="宋体"/>
          <w:sz w:val="24"/>
          <w:szCs w:val="24"/>
        </w:rPr>
      </w:pPr>
      <w:r>
        <w:rPr>
          <w:rFonts w:hint="eastAsia" w:ascii="宋体" w:hAnsi="宋体"/>
          <w:sz w:val="24"/>
          <w:szCs w:val="24"/>
        </w:rPr>
        <w:t xml:space="preserve">受南京鼓楼医院委托，南京市公共资源交易中心（以下简称“交易中心”）就</w:t>
      </w:r>
      <w:r>
        <w:rPr>
          <w:rFonts w:hint="eastAsia" w:ascii="宋体" w:hAnsi="宋体"/>
          <w:sz w:val="24"/>
          <w:szCs w:val="24"/>
          <w:lang w:eastAsia="zh-CN"/>
        </w:rPr>
        <w:t xml:space="preserve">南京鼓楼医院智慧教学一体化信息管理平台</w:t>
      </w:r>
      <w:r>
        <w:rPr>
          <w:rFonts w:hint="eastAsia" w:ascii="宋体" w:hAnsi="宋体"/>
          <w:sz w:val="24"/>
          <w:szCs w:val="24"/>
        </w:rPr>
        <w:t xml:space="preserve">进行公开招标采购，欢迎符合条件的供应商投标。</w:t>
      </w:r>
      <w:r/>
    </w:p>
    <w:p>
      <w:pPr>
        <w:pStyle w:val="69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spacing w:line="252" w:lineRule="auto"/>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JSZC-320100-JZCG-G2025-0445</w:t>
      </w:r>
      <w:r/>
    </w:p>
    <w:p>
      <w:pPr>
        <w:ind w:firstLine="480"/>
        <w:spacing w:line="252" w:lineRule="auto"/>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南京鼓楼医院智慧教学一体化信息管理平台</w:t>
      </w:r>
      <w:r/>
    </w:p>
    <w:p>
      <w:pPr>
        <w:ind w:firstLine="480"/>
        <w:spacing w:line="252" w:lineRule="auto"/>
        <w:rPr>
          <w:rFonts w:hint="eastAsia" w:ascii="宋体" w:hAnsi="宋体"/>
          <w:sz w:val="24"/>
          <w:szCs w:val="24"/>
        </w:rPr>
      </w:pPr>
      <w:r>
        <w:rPr>
          <w:rFonts w:hint="eastAsia" w:ascii="宋体" w:hAnsi="宋体"/>
          <w:sz w:val="24"/>
          <w:szCs w:val="24"/>
        </w:rPr>
        <w:t xml:space="preserve">3.预算金额：</w:t>
      </w:r>
      <w:r>
        <w:rPr>
          <w:rFonts w:hint="eastAsia" w:ascii="宋体" w:hAnsi="宋体"/>
          <w:sz w:val="24"/>
          <w:szCs w:val="24"/>
          <w:lang w:val="en-US" w:eastAsia="zh-CN"/>
        </w:rPr>
        <w:t xml:space="preserve">40</w:t>
      </w:r>
      <w:r>
        <w:rPr>
          <w:rFonts w:hint="eastAsia" w:ascii="宋体" w:hAnsi="宋体"/>
          <w:sz w:val="24"/>
          <w:szCs w:val="24"/>
        </w:rPr>
        <w:t xml:space="preserve">万元 </w:t>
      </w:r>
      <w:r/>
    </w:p>
    <w:p>
      <w:pPr>
        <w:ind w:firstLine="480"/>
        <w:spacing w:line="252" w:lineRule="auto"/>
        <w:rPr>
          <w:rFonts w:hint="eastAsia" w:ascii="宋体" w:hAnsi="宋体"/>
          <w:sz w:val="24"/>
          <w:szCs w:val="24"/>
        </w:rPr>
      </w:pPr>
      <w:r>
        <w:rPr>
          <w:rFonts w:hint="eastAsia" w:ascii="宋体" w:hAnsi="宋体"/>
          <w:sz w:val="24"/>
          <w:szCs w:val="24"/>
        </w:rPr>
        <w:t xml:space="preserve">4.最高限价：本项目设定最高限价为</w:t>
      </w:r>
      <w:r>
        <w:rPr>
          <w:rFonts w:hint="eastAsia" w:ascii="宋体" w:hAnsi="宋体"/>
          <w:sz w:val="24"/>
          <w:szCs w:val="24"/>
          <w:lang w:val="en-US" w:eastAsia="zh-CN"/>
        </w:rPr>
        <w:t xml:space="preserve">3</w:t>
      </w:r>
      <w:r>
        <w:rPr>
          <w:rFonts w:hint="eastAsia" w:ascii="宋体" w:hAnsi="宋体"/>
          <w:sz w:val="24"/>
          <w:szCs w:val="24"/>
        </w:rPr>
        <w:t xml:space="preserve">5万元。</w:t>
      </w:r>
      <w:r/>
    </w:p>
    <w:p>
      <w:pPr>
        <w:ind w:firstLine="480"/>
        <w:spacing w:line="252" w:lineRule="auto"/>
        <w:rPr>
          <w:rFonts w:hint="eastAsia" w:ascii="宋体" w:hAnsi="宋体"/>
          <w:sz w:val="24"/>
          <w:szCs w:val="24"/>
        </w:rPr>
      </w:pPr>
      <w:r>
        <w:rPr>
          <w:rFonts w:hint="eastAsia" w:ascii="宋体" w:hAnsi="宋体"/>
          <w:sz w:val="24"/>
          <w:szCs w:val="24"/>
        </w:rPr>
        <w:t xml:space="preserve">5.采购需求（简介）：建设智慧教学一体化信息管理平台。（详细内容见本招标文件第四章） </w:t>
      </w:r>
      <w:r/>
    </w:p>
    <w:p>
      <w:pPr>
        <w:ind w:firstLine="480"/>
        <w:spacing w:line="252" w:lineRule="auto"/>
        <w:rPr>
          <w:rFonts w:hint="eastAsia" w:ascii="宋体" w:hAnsi="宋体"/>
          <w:sz w:val="24"/>
          <w:szCs w:val="24"/>
        </w:rPr>
      </w:pPr>
      <w:r>
        <w:rPr>
          <w:rFonts w:hint="eastAsia" w:ascii="宋体" w:hAnsi="宋体"/>
          <w:sz w:val="24"/>
          <w:szCs w:val="24"/>
        </w:rPr>
        <w:t xml:space="preserve">6.合同履行期限：系统开发时间为合同签订后</w:t>
      </w:r>
      <w:r>
        <w:rPr>
          <w:rFonts w:hint="eastAsia" w:ascii="宋体" w:hAnsi="宋体"/>
          <w:sz w:val="24"/>
          <w:szCs w:val="24"/>
          <w:lang w:val="en-US" w:eastAsia="zh-CN"/>
        </w:rPr>
        <w:t xml:space="preserve">6</w:t>
      </w:r>
      <w:r>
        <w:rPr>
          <w:rFonts w:hint="eastAsia" w:ascii="宋体" w:hAnsi="宋体"/>
          <w:sz w:val="24"/>
          <w:szCs w:val="24"/>
        </w:rPr>
        <w:t xml:space="preserve">0天内。</w:t>
      </w:r>
      <w:r/>
    </w:p>
    <w:p>
      <w:pPr>
        <w:ind w:firstLine="480"/>
        <w:spacing w:line="252" w:lineRule="auto"/>
        <w:rPr>
          <w:rFonts w:hint="eastAsia" w:ascii="宋体" w:hAnsi="宋体"/>
          <w:sz w:val="24"/>
          <w:szCs w:val="24"/>
        </w:rPr>
      </w:pPr>
      <w:r>
        <w:rPr>
          <w:rFonts w:hint="eastAsia" w:ascii="宋体" w:hAnsi="宋体"/>
          <w:sz w:val="24"/>
          <w:szCs w:val="24"/>
        </w:rPr>
        <w:t xml:space="preserve">7.本项目不接受联合体投标。</w:t>
      </w:r>
      <w:r/>
    </w:p>
    <w:p>
      <w:pPr>
        <w:pStyle w:val="692"/>
        <w:ind w:firstLine="465"/>
        <w:spacing w:before="145" w:after="145" w:line="252" w:lineRule="auto"/>
        <w:rPr>
          <w:rFonts w:hint="eastAsia" w:ascii="方正黑体_GBK" w:hAnsi="方正黑体_GBK" w:eastAsia="方正黑体_GBK" w:cs="方正黑体_GBK"/>
          <w:b w:val="0"/>
          <w:bCs w:val="0"/>
          <w:sz w:val="30"/>
          <w:szCs w:val="30"/>
        </w:rPr>
      </w:pPr>
      <w:r/>
      <w:bookmarkStart w:id="12" w:name="_Toc35393791"/>
      <w:r/>
      <w:bookmarkStart w:id="13" w:name="_Toc35393622"/>
      <w:r/>
      <w:bookmarkStart w:id="14" w:name="_Toc28359080"/>
      <w:r/>
      <w:bookmarkStart w:id="15" w:name="_Toc38985264"/>
      <w:r/>
      <w:bookmarkStart w:id="16" w:name="_Toc28359003"/>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sz w:val="24"/>
          <w:szCs w:val="24"/>
        </w:rPr>
      </w:pPr>
      <w:r/>
      <w:bookmarkStart w:id="17" w:name="_Toc35393623"/>
      <w:r/>
      <w:bookmarkStart w:id="18" w:name="_Toc35393792"/>
      <w:r/>
      <w:bookmarkStart w:id="19" w:name="_Toc28359081"/>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52" w:lineRule="auto"/>
        <w:rPr>
          <w:rFonts w:hint="eastAsia" w:ascii="宋体" w:hAnsi="宋体"/>
          <w:sz w:val="24"/>
          <w:szCs w:val="24"/>
          <w:highlight w:val="yellow"/>
        </w:rPr>
      </w:pPr>
      <w:r>
        <w:rPr>
          <w:rFonts w:hint="eastAsia" w:ascii="宋体" w:hAnsi="宋体"/>
          <w:sz w:val="24"/>
          <w:szCs w:val="24"/>
          <w:lang w:val="zh-CN"/>
        </w:rPr>
        <w:t xml:space="preserve">2.落实政府采购政策需满足的资格要求：</w:t>
      </w:r>
      <w:r>
        <w:rPr>
          <w:rFonts w:hint="eastAsia" w:ascii="宋体" w:hAnsi="宋体"/>
          <w:sz w:val="24"/>
          <w:szCs w:val="24"/>
        </w:rPr>
        <w:t xml:space="preserve">无</w:t>
      </w:r>
      <w:r/>
    </w:p>
    <w:p>
      <w:pPr>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252" w:lineRule="auto"/>
        <w:rPr>
          <w:rFonts w:hint="eastAsia" w:ascii="宋体" w:hAnsi="宋体"/>
          <w:sz w:val="24"/>
          <w:szCs w:val="24"/>
        </w:rPr>
      </w:pPr>
      <w:r>
        <w:rPr>
          <w:rFonts w:hint="eastAsia" w:ascii="宋体" w:hAnsi="宋体"/>
          <w:sz w:val="24"/>
          <w:szCs w:val="24"/>
        </w:rPr>
        <w:t xml:space="preserve">（二）本项目的特定资格要求：无</w:t>
      </w:r>
      <w:r/>
    </w:p>
    <w:p>
      <w:pPr>
        <w:ind w:firstLine="480"/>
        <w:spacing w:line="252" w:lineRule="auto"/>
        <w:rPr>
          <w:rFonts w:hint="eastAsia" w:ascii="宋体" w:hAnsi="宋体"/>
          <w:sz w:val="24"/>
          <w:szCs w:val="24"/>
        </w:rPr>
      </w:pPr>
      <w:r>
        <w:rPr>
          <w:rFonts w:hint="eastAsia" w:ascii="宋体" w:hAnsi="宋体"/>
          <w:sz w:val="24"/>
          <w:szCs w:val="24"/>
        </w:rPr>
        <w:t xml:space="preserve">（三）拒绝下述供应商参加本次采购活动</w:t>
      </w:r>
      <w:r/>
    </w:p>
    <w:p>
      <w:pPr>
        <w:ind w:firstLine="480"/>
        <w:spacing w:line="252"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52"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252"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69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spacing w:line="252" w:lineRule="auto"/>
        <w:rPr>
          <w:rFonts w:ascii="宋体" w:hAnsi="宋体" w:cs="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p>
    <w:p>
      <w:pPr>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9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spacing w:line="252" w:lineRule="auto"/>
        <w:rPr>
          <w:rFonts w:hint="eastAsia" w:ascii="宋体" w:hAnsi="宋体"/>
          <w:bCs/>
          <w:sz w:val="24"/>
          <w:szCs w:val="24"/>
          <w:u w:val="single"/>
        </w:rPr>
      </w:pPr>
      <w:r/>
      <w:bookmarkStart w:id="27" w:name="_Toc38985267"/>
      <w:r/>
      <w:bookmarkStart w:id="28" w:name="_Toc35393794"/>
      <w:r/>
      <w:bookmarkStart w:id="29" w:name="_Toc28359007"/>
      <w:r/>
      <w:bookmarkStart w:id="30" w:name="_Toc35393625"/>
      <w:r/>
      <w:bookmarkStart w:id="31" w:name="_Toc28359084"/>
      <w:r>
        <w:rPr>
          <w:rFonts w:hint="eastAsia" w:ascii="宋体" w:hAnsi="宋体" w:cs="宋体"/>
          <w:sz w:val="24"/>
          <w:szCs w:val="24"/>
        </w:rPr>
        <w:t xml:space="preserve">1.提交投标文件截止时间、开标时间：</w:t>
      </w:r>
      <w:r>
        <w:rPr>
          <w:rFonts w:hint="eastAsia"/>
          <w:bCs/>
          <w:color w:val="000000" w:themeColor="text1"/>
          <w:sz w:val="24"/>
          <w:szCs w:val="24"/>
          <w:lang w:val="en-US" w:eastAsia="zh-CN"/>
          <w14:textFill>
            <w14:solidFill>
              <w14:schemeClr w14:val="tx1"/>
            </w14:solidFill>
          </w14:textFill>
        </w:rPr>
        <w:t xml:space="preserve">2025</w:t>
      </w:r>
      <w:r>
        <w:rPr>
          <w:rFonts w:hint="eastAsia" w:ascii="宋体" w:hAnsi="宋体"/>
          <w:bCs/>
          <w:color w:val="000000" w:themeColor="text1"/>
          <w:sz w:val="24"/>
          <w:szCs w:val="24"/>
          <w14:textFill>
            <w14:solidFill>
              <w14:schemeClr w14:val="tx1"/>
            </w14:solidFill>
          </w14:textFill>
        </w:rPr>
        <w:t xml:space="preserve">年</w:t>
      </w:r>
      <w:r>
        <w:rPr>
          <w:rFonts w:hint="eastAsia"/>
          <w:bCs/>
          <w:color w:val="000000" w:themeColor="text1"/>
          <w:sz w:val="24"/>
          <w:szCs w:val="24"/>
          <w:lang w:val="en-US" w:eastAsia="zh-CN"/>
          <w14:textFill>
            <w14:solidFill>
              <w14:schemeClr w14:val="tx1"/>
            </w14:solidFill>
          </w14:textFill>
        </w:rPr>
        <w:t xml:space="preserve">11</w:t>
      </w:r>
      <w:r>
        <w:rPr>
          <w:rFonts w:hint="eastAsia" w:ascii="宋体" w:hAnsi="宋体"/>
          <w:bCs/>
          <w:color w:val="000000" w:themeColor="text1"/>
          <w:sz w:val="24"/>
          <w:szCs w:val="24"/>
          <w14:textFill>
            <w14:solidFill>
              <w14:schemeClr w14:val="tx1"/>
            </w14:solidFill>
          </w14:textFill>
        </w:rPr>
        <w:t xml:space="preserve">月</w:t>
      </w:r>
      <w:r>
        <w:rPr>
          <w:rFonts w:hint="eastAsia"/>
          <w:bCs/>
          <w:color w:val="000000" w:themeColor="text1"/>
          <w:sz w:val="24"/>
          <w:szCs w:val="24"/>
          <w:lang w:val="en-US" w:eastAsia="zh-CN"/>
          <w14:textFill>
            <w14:solidFill>
              <w14:schemeClr w14:val="tx1"/>
            </w14:solidFill>
          </w14:textFill>
        </w:rPr>
        <w:t xml:space="preserve">28</w:t>
      </w:r>
      <w:r>
        <w:rPr>
          <w:rFonts w:hint="eastAsia" w:ascii="宋体" w:hAnsi="宋体"/>
          <w:bCs/>
          <w:color w:val="000000" w:themeColor="text1"/>
          <w:sz w:val="24"/>
          <w:szCs w:val="24"/>
          <w14:textFill>
            <w14:solidFill>
              <w14:schemeClr w14:val="tx1"/>
            </w14:solidFill>
          </w14:textFill>
        </w:rPr>
        <w:t xml:space="preserve">日</w:t>
      </w:r>
      <w:r>
        <w:rPr>
          <w:rFonts w:hint="eastAsia"/>
          <w:bCs/>
          <w:color w:val="000000" w:themeColor="text1"/>
          <w:sz w:val="24"/>
          <w:szCs w:val="24"/>
          <w:lang w:val="en-US" w:eastAsia="zh-CN"/>
          <w14:textFill>
            <w14:solidFill>
              <w14:schemeClr w14:val="tx1"/>
            </w14:solidFill>
          </w14:textFill>
        </w:rPr>
        <w:t xml:space="preserve">09</w:t>
      </w:r>
      <w:r>
        <w:rPr>
          <w:rFonts w:hint="eastAsia"/>
          <w:bCs/>
          <w:color w:val="000000" w:themeColor="text1"/>
          <w:sz w:val="24"/>
          <w:szCs w:val="24"/>
          <w14:textFill>
            <w14:solidFill>
              <w14:schemeClr w14:val="tx1"/>
            </w14:solidFill>
          </w14:textFill>
        </w:rPr>
        <w:t xml:space="preserve">时</w:t>
      </w:r>
      <w:r>
        <w:rPr>
          <w:rFonts w:hint="eastAsia"/>
          <w:bCs/>
          <w:color w:val="000000" w:themeColor="text1"/>
          <w:sz w:val="24"/>
          <w:szCs w:val="24"/>
          <w:lang w:val="en-US" w:eastAsia="zh-CN"/>
          <w14:textFill>
            <w14:solidFill>
              <w14:schemeClr w14:val="tx1"/>
            </w14:solidFill>
          </w14:textFill>
        </w:rPr>
        <w:t xml:space="preserve">30</w:t>
      </w:r>
      <w:r>
        <w:rPr>
          <w:rFonts w:hint="eastAsia" w:ascii="宋体" w:hAnsi="宋体"/>
          <w:bCs/>
          <w:color w:val="000000" w:themeColor="text1"/>
          <w:sz w:val="24"/>
          <w:szCs w:val="24"/>
          <w14:textFill>
            <w14:solidFill>
              <w14:schemeClr w14:val="tx1"/>
            </w14:solidFill>
          </w14:textFill>
        </w:rPr>
        <w:t xml:space="preserve">分</w:t>
      </w:r>
      <w:r>
        <w:rPr>
          <w:rFonts w:hint="eastAsia" w:ascii="宋体" w:hAnsi="宋体"/>
          <w:bCs/>
          <w:sz w:val="24"/>
          <w:szCs w:val="24"/>
        </w:rPr>
        <w:t xml:space="preserve">（北京时间）。</w:t>
      </w:r>
      <w:r/>
    </w:p>
    <w:p>
      <w:pPr>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69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公告期限为自本公告发布之日起5个工作日。</w:t>
      </w:r>
      <w:r/>
    </w:p>
    <w:p>
      <w:pPr>
        <w:pStyle w:val="69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sz w:val="24"/>
          <w:szCs w:val="24"/>
        </w:rPr>
      </w:pPr>
      <w:r/>
      <w:bookmarkStart w:id="35" w:name="_Toc28359085"/>
      <w:r/>
      <w:bookmarkStart w:id="36" w:name="_Toc35393796"/>
      <w:r/>
      <w:bookmarkStart w:id="37" w:name="_Toc38985269"/>
      <w:r/>
      <w:bookmarkStart w:id="38" w:name="_Toc28359008"/>
      <w:r/>
      <w:bookmarkStart w:id="39"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hint="eastAsia" w:ascii="宋体" w:hAnsi="宋体" w:cs="宋体"/>
          <w:color w:val="0000ff"/>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w:t>
      </w:r>
      <w:r>
        <w:rPr>
          <w:rFonts w:hint="eastAsia" w:ascii="宋体" w:hAnsi="宋体" w:cs="宋体"/>
          <w:color w:val="0000ff"/>
          <w:sz w:val="24"/>
          <w:szCs w:val="24"/>
        </w:rPr>
        <w:t xml:space="preserve"> </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fldChar w:fldCharType="begin"/>
      </w:r>
      <w:r>
        <w:instrText xml:space="preserve"> HYPERLINK "http://www.ccgp-jiangsu.gov.cn/jiangsu/zlxz/ee/ee3a4bc5a3454aa2b0d9312230633ce9.html" </w:instrText>
      </w:r>
      <w:r>
        <w:fldChar w:fldCharType="separate"/>
      </w:r>
      <w:r>
        <w:rPr>
          <w:rStyle w:val="745"/>
          <w:rFonts w:hint="eastAsia" w:ascii="宋体" w:hAnsi="宋体" w:cs="宋体"/>
          <w:sz w:val="24"/>
          <w:szCs w:val="24"/>
        </w:rPr>
        <w:t xml:space="preserve">下载地址</w:t>
      </w:r>
      <w:r>
        <w:rPr>
          <w:rStyle w:val="745"/>
          <w:rFonts w:hint="eastAsia" w:ascii="宋体" w:hAnsi="宋体" w:cs="宋体"/>
          <w:sz w:val="24"/>
          <w:szCs w:val="24"/>
        </w:rPr>
        <w:fldChar w:fldCharType="end"/>
      </w:r>
      <w:r>
        <w:rPr>
          <w:rFonts w:hint="eastAsia" w:ascii="宋体" w:hAnsi="宋体" w:cs="宋体"/>
          <w:sz w:val="24"/>
          <w:szCs w:val="24"/>
        </w:rPr>
        <w:t xml:space="preserve">（CTRL+鼠标左键）。</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52" w:lineRule="auto"/>
        <w:rPr>
          <w:rFonts w:hint="eastAsia" w:ascii="宋体" w:hAnsi="宋体" w:cs="宋体"/>
          <w:b/>
          <w:bCs/>
          <w:sz w:val="24"/>
          <w:szCs w:val="24"/>
        </w:rPr>
      </w:pPr>
      <w:r>
        <w:rPr>
          <w:rFonts w:hint="eastAsia" w:ascii="宋体" w:hAnsi="宋体" w:cs="宋体"/>
          <w:b/>
          <w:bCs/>
          <w:sz w:val="24"/>
          <w:szCs w:val="24"/>
        </w:rPr>
        <w:t xml:space="preserve">5.供应商（含潜在供应商）对采购方式、采购需求、供应商资格条件、评标方法和评标标准、合同文本的询问或质疑向采购人提出，《质疑函》原件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采购人，由采购人负责答复。</w:t>
      </w:r>
      <w:r/>
    </w:p>
    <w:p>
      <w:pPr>
        <w:ind w:firstLine="482"/>
        <w:spacing w:line="252" w:lineRule="auto"/>
        <w:rPr>
          <w:rFonts w:hint="eastAsia" w:ascii="宋体" w:hAnsi="宋体" w:cs="宋体"/>
          <w:b/>
          <w:bCs/>
          <w:sz w:val="24"/>
          <w:szCs w:val="24"/>
        </w:rPr>
      </w:pPr>
      <w:r>
        <w:rPr>
          <w:rFonts w:hint="eastAsia" w:ascii="宋体" w:hAnsi="宋体" w:cs="宋体"/>
          <w:b/>
          <w:bCs/>
          <w:sz w:val="24"/>
          <w:szCs w:val="24"/>
        </w:rPr>
        <w:t xml:space="preserve">对采购过程、采购结果的询问或质疑向交易中心提出，《质疑函》原件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交易中心，由交易中心负责答复。</w:t>
      </w:r>
      <w:r/>
    </w:p>
    <w:p>
      <w:pPr>
        <w:pStyle w:val="69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sz w:val="24"/>
          <w:szCs w:val="24"/>
        </w:rPr>
      </w:pPr>
      <w:r>
        <w:rPr>
          <w:rFonts w:hint="eastAsia" w:ascii="宋体" w:hAnsi="宋体"/>
          <w:sz w:val="24"/>
          <w:szCs w:val="24"/>
        </w:rPr>
        <w:t xml:space="preserve">1.采购人</w:t>
      </w:r>
      <w:r/>
    </w:p>
    <w:p>
      <w:pPr>
        <w:ind w:firstLine="480"/>
        <w:spacing w:line="252" w:lineRule="auto"/>
        <w:rPr>
          <w:rFonts w:hint="eastAsia" w:ascii="宋体" w:hAnsi="宋体"/>
          <w:sz w:val="24"/>
          <w:szCs w:val="24"/>
        </w:rPr>
      </w:pPr>
      <w:r>
        <w:rPr>
          <w:rFonts w:hint="eastAsia" w:ascii="宋体" w:hAnsi="宋体"/>
          <w:sz w:val="24"/>
          <w:szCs w:val="24"/>
        </w:rPr>
        <w:t xml:space="preserve">名  称：南京鼓楼医院          </w:t>
      </w:r>
      <w:r/>
    </w:p>
    <w:p>
      <w:pPr>
        <w:ind w:firstLine="480"/>
        <w:spacing w:line="252" w:lineRule="auto"/>
        <w:rPr>
          <w:rFonts w:hint="eastAsia" w:ascii="宋体" w:hAnsi="宋体"/>
          <w:sz w:val="24"/>
          <w:szCs w:val="24"/>
        </w:rPr>
      </w:pPr>
      <w:r>
        <w:rPr>
          <w:rFonts w:hint="eastAsia" w:ascii="宋体" w:hAnsi="宋体"/>
          <w:sz w:val="24"/>
          <w:szCs w:val="24"/>
        </w:rPr>
        <w:t xml:space="preserve">地  址：南京市中山路321号    </w:t>
      </w:r>
      <w:r/>
    </w:p>
    <w:p>
      <w:pPr>
        <w:ind w:firstLine="480"/>
        <w:spacing w:line="252" w:lineRule="auto"/>
        <w:rPr>
          <w:rFonts w:hint="eastAsia" w:ascii="宋体" w:hAnsi="宋体"/>
          <w:sz w:val="24"/>
          <w:szCs w:val="24"/>
        </w:rPr>
      </w:pPr>
      <w:r>
        <w:rPr>
          <w:rFonts w:hint="eastAsia" w:ascii="宋体" w:hAnsi="宋体"/>
          <w:sz w:val="24"/>
          <w:szCs w:val="24"/>
        </w:rPr>
        <w:t xml:space="preserve">联系人：张</w:t>
      </w:r>
      <w:r>
        <w:rPr>
          <w:rFonts w:hint="eastAsia" w:ascii="宋体" w:hAnsi="宋体"/>
          <w:sz w:val="24"/>
          <w:szCs w:val="24"/>
          <w:lang w:val="en-US" w:eastAsia="zh-CN"/>
        </w:rPr>
        <w:t xml:space="preserve">老师</w:t>
      </w:r>
      <w:r>
        <w:rPr>
          <w:rFonts w:hint="eastAsia" w:ascii="宋体" w:hAnsi="宋体"/>
          <w:sz w:val="24"/>
          <w:szCs w:val="24"/>
        </w:rPr>
        <w:t xml:space="preserve"> </w:t>
      </w:r>
      <w:r/>
    </w:p>
    <w:p>
      <w:pPr>
        <w:ind w:firstLine="480"/>
        <w:spacing w:line="252" w:lineRule="auto"/>
        <w:rPr>
          <w:rFonts w:hint="eastAsia" w:ascii="宋体" w:hAnsi="宋体"/>
          <w:sz w:val="24"/>
          <w:szCs w:val="24"/>
        </w:rPr>
      </w:pPr>
      <w:r>
        <w:rPr>
          <w:rFonts w:hint="eastAsia" w:ascii="宋体" w:hAnsi="宋体"/>
          <w:sz w:val="24"/>
          <w:szCs w:val="24"/>
        </w:rPr>
        <w:t xml:space="preserve">联系电话：025-83105006</w:t>
      </w:r>
      <w:r>
        <w:rPr>
          <w:rFonts w:hint="eastAsia" w:ascii="宋体" w:hAnsi="宋体"/>
          <w:color w:val="0000ff"/>
          <w:sz w:val="24"/>
          <w:szCs w:val="24"/>
        </w:rPr>
        <w:t xml:space="preserve"> </w:t>
      </w:r>
      <w:bookmarkStart w:id="40" w:name="_Toc28359086"/>
      <w:r/>
      <w:bookmarkStart w:id="41" w:name="_Toc28359009"/>
      <w:r/>
      <w:r/>
    </w:p>
    <w:p>
      <w:pPr>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
    </w:p>
    <w:p>
      <w:pPr>
        <w:ind w:firstLine="480"/>
        <w:spacing w:line="252" w:lineRule="auto"/>
        <w:rPr>
          <w:rFonts w:hint="eastAsia" w:ascii="宋体" w:hAnsi="宋体"/>
          <w:sz w:val="24"/>
          <w:szCs w:val="24"/>
        </w:rPr>
      </w:pPr>
      <w:r>
        <w:rPr>
          <w:rFonts w:hint="eastAsia" w:ascii="宋体" w:hAnsi="宋体"/>
          <w:sz w:val="24"/>
          <w:szCs w:val="24"/>
        </w:rPr>
        <w:t xml:space="preserve">地　址：南京市建邺区江东中路265号  </w:t>
      </w:r>
      <w:r/>
    </w:p>
    <w:p>
      <w:pPr>
        <w:ind w:firstLine="480"/>
        <w:spacing w:line="252"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lang w:val="en-US" w:eastAsia="zh-CN"/>
        </w:rPr>
        <w:t xml:space="preserve">陈</w:t>
      </w:r>
      <w:r>
        <w:rPr>
          <w:rFonts w:hint="eastAsia" w:ascii="宋体" w:hAnsi="宋体"/>
          <w:sz w:val="24"/>
          <w:szCs w:val="24"/>
        </w:rPr>
        <w:t xml:space="preserve">先生</w:t>
      </w:r>
      <w:r/>
    </w:p>
    <w:p>
      <w:pPr>
        <w:ind w:firstLine="480"/>
        <w:spacing w:line="252" w:lineRule="auto"/>
        <w:rPr>
          <w:rFonts w:hint="default" w:eastAsia="宋体"/>
          <w:lang w:val="en-US" w:eastAsia="zh-CN"/>
        </w:rPr>
      </w:pPr>
      <w:r>
        <w:rPr>
          <w:rFonts w:hint="eastAsia" w:ascii="宋体" w:hAnsi="宋体"/>
          <w:sz w:val="24"/>
          <w:szCs w:val="24"/>
        </w:rPr>
        <w:t xml:space="preserve">联系电话：025-685059</w:t>
      </w:r>
      <w:bookmarkEnd w:id="1"/>
      <w:r/>
      <w:bookmarkEnd w:id="2"/>
      <w:r/>
      <w:bookmarkEnd w:id="3"/>
      <w:r/>
      <w:bookmarkEnd w:id="4"/>
      <w:r/>
      <w:bookmarkEnd w:id="5"/>
      <w:r>
        <w:rPr>
          <w:rFonts w:hint="eastAsia" w:ascii="宋体" w:hAnsi="宋体"/>
          <w:sz w:val="24"/>
          <w:szCs w:val="24"/>
          <w:lang w:val="en-US" w:eastAsia="zh-CN"/>
        </w:rPr>
        <w:t xml:space="preserve">15</w:t>
      </w:r>
      <w:r/>
    </w:p>
    <w:p>
      <w:pPr>
        <w:pStyle w:val="921"/>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Hlt16619350"/>
      <w:r/>
      <w:bookmarkStart w:id="43" w:name="_Toc20823346"/>
      <w:r/>
      <w:bookmarkStart w:id="44" w:name="_Toc16938590"/>
      <w:r/>
      <w:bookmarkStart w:id="45" w:name="_Toc120614244"/>
      <w:r/>
      <w:bookmarkStart w:id="46" w:name="_Toc479757211"/>
      <w:r/>
      <w:bookmarkStart w:id="47" w:name="_Toc462564139"/>
      <w:r>
        <w:rPr>
          <w:rFonts w:ascii="黑体" w:eastAsia="黑体"/>
          <w:bCs/>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rPr>
        <w:t xml:space="preserve">第二章  </w:t>
      </w:r>
      <w:bookmarkEnd w:id="48"/>
      <w:r/>
      <w:bookmarkStart w:id="49" w:name="_Toc513029202"/>
      <w:r/>
      <w:bookmarkStart w:id="50" w:name="_Toc20823274"/>
      <w:r/>
      <w:bookmarkStart w:id="51" w:name="_Toc120614213"/>
      <w:r/>
      <w:bookmarkStart w:id="52" w:name="_Toc16938518"/>
      <w:r>
        <w:rPr>
          <w:rFonts w:hint="eastAsia" w:ascii="方正小标宋简体" w:hAnsi="方正小标宋简体" w:eastAsia="方正小标宋简体" w:cs="方正小标宋简体"/>
          <w:color w:val="000000"/>
          <w:sz w:val="36"/>
          <w:szCs w:val="36"/>
          <w:lang w:val="en-US"/>
        </w:rPr>
        <w:t xml:space="preserve">投标人须知</w:t>
      </w:r>
      <w:bookmarkEnd w:id="49"/>
      <w:r/>
      <w:bookmarkEnd w:id="50"/>
      <w:r/>
      <w:bookmarkEnd w:id="51"/>
      <w:r/>
      <w:bookmarkEnd w:id="52"/>
      <w:r/>
      <w:r/>
    </w:p>
    <w:p>
      <w:pPr>
        <w:pStyle w:val="692"/>
        <w:ind w:firstLine="465"/>
        <w:spacing w:before="145" w:after="145" w:line="252" w:lineRule="auto"/>
        <w:rPr>
          <w:rFonts w:hint="eastAsia" w:ascii="方正黑体_GBK" w:hAnsi="方正黑体_GBK" w:eastAsia="方正黑体_GBK" w:cs="方正黑体_GBK"/>
          <w:b w:val="0"/>
          <w:bCs w:val="0"/>
          <w:sz w:val="30"/>
          <w:szCs w:val="30"/>
        </w:rPr>
      </w:pPr>
      <w:r/>
      <w:bookmarkStart w:id="53" w:name="_Toc20823275"/>
      <w:r/>
      <w:bookmarkStart w:id="54" w:name="_Toc120614214"/>
      <w:r/>
      <w:bookmarkStart w:id="55" w:name="_Toc16938519"/>
      <w:r/>
      <w:bookmarkStart w:id="56" w:name="_Toc513029203"/>
      <w:r/>
      <w:bookmarkStart w:id="57" w:name="_Toc120614221"/>
      <w:r/>
      <w:bookmarkStart w:id="58" w:name="_Toc20823314"/>
      <w:r/>
      <w:bookmarkStart w:id="59" w:name="_Toc513029242"/>
      <w:r/>
      <w:bookmarkStart w:id="60" w:name="_Toc479757207"/>
      <w:r/>
      <w:bookmarkStart w:id="61" w:name="_Toc16938558"/>
      <w:r>
        <w:rPr>
          <w:rFonts w:hint="eastAsia" w:ascii="方正黑体_GBK" w:hAnsi="方正黑体_GBK" w:eastAsia="方正黑体_GBK" w:cs="方正黑体_GBK"/>
          <w:b w:val="0"/>
          <w:bCs w:val="0"/>
          <w:sz w:val="30"/>
          <w:szCs w:val="30"/>
        </w:rPr>
        <w:t xml:space="preserve">一、总则</w:t>
      </w:r>
      <w:bookmarkEnd w:id="53"/>
      <w:r/>
      <w:bookmarkEnd w:id="54"/>
      <w:r/>
      <w:bookmarkEnd w:id="55"/>
      <w:r/>
      <w:bookmarkEnd w:id="56"/>
      <w:r/>
      <w:r/>
    </w:p>
    <w:p>
      <w:pPr>
        <w:pStyle w:val="693"/>
        <w:ind w:firstLine="422"/>
        <w:spacing w:line="252" w:lineRule="auto"/>
        <w:rPr>
          <w:rFonts w:hint="eastAsia" w:ascii="方正楷体_GBK" w:hAnsi="方正楷体_GBK" w:eastAsia="方正楷体_GBK" w:cs="方正楷体_GBK"/>
          <w:b/>
          <w:bCs/>
        </w:rPr>
      </w:pPr>
      <w:r/>
      <w:bookmarkStart w:id="62" w:name="_Hlt16619475"/>
      <w:r/>
      <w:bookmarkEnd w:id="62"/>
      <w:r/>
      <w:bookmarkStart w:id="63" w:name="_Toc458694821"/>
      <w:r/>
      <w:bookmarkStart w:id="64" w:name="_Toc513029204"/>
      <w:r/>
      <w:bookmarkStart w:id="65" w:name="_Toc20823276"/>
      <w:r/>
      <w:bookmarkStart w:id="66" w:name="_Toc16938520"/>
      <w:r>
        <w:rPr>
          <w:rFonts w:hint="eastAsia" w:ascii="方正楷体_GBK" w:hAnsi="方正楷体_GBK" w:eastAsia="方正楷体_GBK" w:cs="方正楷体_GBK"/>
          <w:b/>
          <w:bCs/>
        </w:rPr>
        <w:t xml:space="preserve">1</w:t>
      </w:r>
      <w:bookmarkEnd w:id="63"/>
      <w:r>
        <w:rPr>
          <w:rFonts w:hint="eastAsia" w:ascii="方正楷体_GBK" w:hAnsi="方正楷体_GBK" w:eastAsia="方正楷体_GBK" w:cs="方正楷体_GBK"/>
          <w:b/>
          <w:bCs/>
        </w:rPr>
        <w:t xml:space="preserve">.招标方式</w:t>
      </w:r>
      <w:bookmarkEnd w:id="64"/>
      <w:r/>
      <w:bookmarkEnd w:id="65"/>
      <w:r/>
      <w:bookmarkEnd w:id="66"/>
      <w:r/>
      <w:r/>
    </w:p>
    <w:p>
      <w:pPr>
        <w:ind w:firstLine="420"/>
        <w:spacing w:line="252" w:lineRule="auto"/>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693"/>
        <w:ind w:firstLine="422"/>
        <w:spacing w:line="252" w:lineRule="auto"/>
        <w:rPr>
          <w:rFonts w:hint="eastAsia" w:ascii="方正楷体_GBK" w:hAnsi="方正楷体_GBK" w:eastAsia="方正楷体_GBK" w:cs="方正楷体_GBK"/>
          <w:b/>
          <w:bCs/>
        </w:rPr>
      </w:pPr>
      <w:r/>
      <w:bookmarkStart w:id="67" w:name="_Toc20823277"/>
      <w:r/>
      <w:bookmarkStart w:id="68" w:name="_Toc16938521"/>
      <w:r/>
      <w:bookmarkStart w:id="69" w:name="_Toc513029205"/>
      <w:r>
        <w:rPr>
          <w:rFonts w:hint="eastAsia" w:ascii="方正楷体_GBK" w:hAnsi="方正楷体_GBK" w:eastAsia="方正楷体_GBK" w:cs="方正楷体_GBK"/>
          <w:b/>
          <w:bCs/>
        </w:rPr>
        <w:t xml:space="preserve">2.合格的投标人</w:t>
      </w:r>
      <w:bookmarkEnd w:id="67"/>
      <w:r/>
      <w:bookmarkEnd w:id="68"/>
      <w:r/>
      <w:bookmarkEnd w:id="69"/>
      <w:r/>
      <w:r/>
    </w:p>
    <w:p>
      <w:pPr>
        <w:ind w:firstLine="420"/>
        <w:spacing w:line="252" w:lineRule="auto"/>
        <w:rPr>
          <w:rFonts w:hint="eastAsia" w:ascii="宋体" w:hAnsi="宋体"/>
          <w:sz w:val="24"/>
        </w:rPr>
      </w:pPr>
      <w:r>
        <w:rPr>
          <w:rFonts w:hint="eastAsia" w:ascii="宋体" w:hAnsi="宋体"/>
          <w:sz w:val="24"/>
        </w:rPr>
        <w:t xml:space="preserve">2.1 满足招标公告对供应商资格要求的规定。</w:t>
      </w:r>
      <w:r/>
    </w:p>
    <w:p>
      <w:pPr>
        <w:ind w:firstLine="420"/>
        <w:spacing w:line="252" w:lineRule="auto"/>
        <w:rPr>
          <w:rFonts w:hint="eastAsia" w:ascii="宋体" w:hAnsi="宋体"/>
          <w:sz w:val="24"/>
        </w:rPr>
      </w:pPr>
      <w:r>
        <w:rPr>
          <w:rFonts w:hint="eastAsia" w:ascii="宋体" w:hAnsi="宋体"/>
          <w:sz w:val="24"/>
        </w:rPr>
        <w:t xml:space="preserve">2.2 满足招标文件规定的实质性要求和条件。</w:t>
      </w:r>
      <w:r/>
    </w:p>
    <w:p>
      <w:pPr>
        <w:pStyle w:val="693"/>
        <w:ind w:firstLine="422"/>
        <w:spacing w:line="252" w:lineRule="auto"/>
        <w:rPr>
          <w:rFonts w:hint="eastAsia" w:ascii="方正楷体_GBK" w:hAnsi="方正楷体_GBK" w:eastAsia="方正楷体_GBK" w:cs="方正楷体_GBK"/>
          <w:b/>
          <w:bCs/>
        </w:rPr>
      </w:pPr>
      <w:r/>
      <w:bookmarkStart w:id="70" w:name="_Toc513029206"/>
      <w:r/>
      <w:bookmarkStart w:id="71" w:name="_Toc20823278"/>
      <w:r/>
      <w:bookmarkStart w:id="72" w:name="_Toc16938522"/>
      <w:r>
        <w:rPr>
          <w:rFonts w:hint="eastAsia" w:ascii="方正楷体_GBK" w:hAnsi="方正楷体_GBK" w:eastAsia="方正楷体_GBK" w:cs="方正楷体_GBK"/>
          <w:b/>
          <w:bCs/>
        </w:rPr>
        <w:t xml:space="preserve">3.适用法律</w:t>
      </w:r>
      <w:bookmarkEnd w:id="70"/>
      <w:r/>
      <w:bookmarkEnd w:id="71"/>
      <w:r/>
      <w:bookmarkEnd w:id="72"/>
      <w:r/>
      <w:r/>
    </w:p>
    <w:p>
      <w:pPr>
        <w:ind w:firstLine="420"/>
        <w:spacing w:line="252"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693"/>
        <w:ind w:firstLine="422"/>
        <w:spacing w:line="252" w:lineRule="auto"/>
        <w:rPr>
          <w:rFonts w:hint="eastAsia" w:ascii="方正楷体_GBK" w:hAnsi="方正楷体_GBK" w:eastAsia="方正楷体_GBK" w:cs="方正楷体_GBK"/>
          <w:b/>
          <w:bCs/>
        </w:rPr>
      </w:pPr>
      <w:r/>
      <w:bookmarkStart w:id="73" w:name="_Toc513029207"/>
      <w:r/>
      <w:bookmarkStart w:id="74" w:name="_Toc16938523"/>
      <w:r/>
      <w:bookmarkStart w:id="75" w:name="_Toc20823279"/>
      <w:r/>
      <w:bookmarkStart w:id="76" w:name="_Toc462564067"/>
      <w:r>
        <w:rPr>
          <w:rFonts w:hint="eastAsia" w:ascii="方正楷体_GBK" w:hAnsi="方正楷体_GBK" w:eastAsia="方正楷体_GBK" w:cs="方正楷体_GBK"/>
          <w:b/>
          <w:bCs/>
        </w:rPr>
        <w:t xml:space="preserve">4.投标费用</w:t>
      </w:r>
      <w:bookmarkEnd w:id="73"/>
      <w:r/>
      <w:bookmarkEnd w:id="74"/>
      <w:r/>
      <w:bookmarkEnd w:id="75"/>
      <w:r/>
      <w:bookmarkEnd w:id="76"/>
      <w:r/>
      <w:r/>
    </w:p>
    <w:p>
      <w:pPr>
        <w:ind w:firstLine="420"/>
        <w:spacing w:line="252" w:lineRule="auto"/>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spacing w:line="252" w:lineRule="auto"/>
        <w:rPr>
          <w:rFonts w:hint="eastAsia" w:ascii="宋体" w:hAnsi="宋体"/>
          <w:sz w:val="24"/>
        </w:rPr>
      </w:pPr>
      <w:r>
        <w:rPr>
          <w:rFonts w:hint="eastAsia" w:ascii="宋体" w:hAnsi="宋体"/>
          <w:sz w:val="24"/>
        </w:rPr>
        <w:t xml:space="preserve">4.2 本次招标交易中心和采购人不收取标书工本费与中标服务费。</w:t>
      </w:r>
      <w:r/>
    </w:p>
    <w:p>
      <w:pPr>
        <w:pStyle w:val="693"/>
        <w:ind w:firstLine="422"/>
        <w:spacing w:line="252" w:lineRule="auto"/>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5.招标文件的约束力</w:t>
      </w:r>
      <w:r/>
    </w:p>
    <w:p>
      <w:pPr>
        <w:ind w:firstLine="420"/>
        <w:spacing w:line="252" w:lineRule="auto"/>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692"/>
        <w:ind w:firstLine="465"/>
        <w:spacing w:before="145" w:after="145" w:line="252" w:lineRule="auto"/>
        <w:rPr>
          <w:rFonts w:hint="eastAsia" w:ascii="方正黑体_GBK" w:hAnsi="方正黑体_GBK" w:eastAsia="方正黑体_GBK" w:cs="方正黑体_GBK"/>
          <w:b w:val="0"/>
          <w:bCs w:val="0"/>
          <w:sz w:val="30"/>
          <w:szCs w:val="30"/>
        </w:rPr>
      </w:pPr>
      <w:r/>
      <w:bookmarkStart w:id="77" w:name="_Toc513029209"/>
      <w:r/>
      <w:bookmarkStart w:id="78" w:name="_Toc20823281"/>
      <w:r/>
      <w:bookmarkStart w:id="79" w:name="_Toc120614215"/>
      <w:r/>
      <w:bookmarkStart w:id="80" w:name="_Toc16938525"/>
      <w:r>
        <w:rPr>
          <w:rFonts w:hint="eastAsia" w:ascii="方正黑体_GBK" w:hAnsi="方正黑体_GBK" w:eastAsia="方正黑体_GBK" w:cs="方正黑体_GBK"/>
          <w:b w:val="0"/>
          <w:bCs w:val="0"/>
          <w:sz w:val="30"/>
          <w:szCs w:val="30"/>
        </w:rPr>
        <w:t xml:space="preserve">二、招标文件</w:t>
      </w:r>
      <w:bookmarkEnd w:id="77"/>
      <w:r/>
      <w:bookmarkEnd w:id="78"/>
      <w:r/>
      <w:bookmarkEnd w:id="79"/>
      <w:r/>
      <w:bookmarkEnd w:id="80"/>
      <w:r/>
      <w:r/>
    </w:p>
    <w:p>
      <w:pPr>
        <w:pStyle w:val="693"/>
        <w:ind w:firstLine="422"/>
        <w:spacing w:line="252" w:lineRule="auto"/>
        <w:rPr>
          <w:rFonts w:hint="eastAsia" w:ascii="方正楷体_GBK" w:hAnsi="方正楷体_GBK" w:eastAsia="方正楷体_GBK" w:cs="方正楷体_GBK"/>
          <w:b/>
          <w:bCs/>
        </w:rPr>
      </w:pPr>
      <w:r/>
      <w:bookmarkStart w:id="81" w:name="_Toc20823282"/>
      <w:r/>
      <w:bookmarkStart w:id="82" w:name="_Toc16938526"/>
      <w:r/>
      <w:bookmarkStart w:id="83" w:name="_Toc513029210"/>
      <w:r>
        <w:rPr>
          <w:rFonts w:hint="eastAsia" w:ascii="方正楷体_GBK" w:hAnsi="方正楷体_GBK" w:eastAsia="方正楷体_GBK" w:cs="方正楷体_GBK"/>
          <w:b/>
          <w:bCs/>
        </w:rPr>
        <w:t xml:space="preserve">6.招标文件构成</w:t>
      </w:r>
      <w:bookmarkEnd w:id="81"/>
      <w:r/>
      <w:bookmarkEnd w:id="82"/>
      <w:r/>
      <w:bookmarkEnd w:id="83"/>
      <w:r/>
      <w:r/>
    </w:p>
    <w:p>
      <w:pPr>
        <w:ind w:firstLine="420"/>
        <w:spacing w:line="252" w:lineRule="auto"/>
        <w:rPr>
          <w:rFonts w:hint="eastAsia" w:ascii="宋体" w:hAnsi="宋体"/>
          <w:sz w:val="24"/>
        </w:rPr>
      </w:pPr>
      <w:r>
        <w:rPr>
          <w:rFonts w:hint="eastAsia" w:ascii="宋体" w:hAnsi="宋体"/>
          <w:sz w:val="24"/>
        </w:rPr>
        <w:t xml:space="preserve">6.1 招标文件由以下部分组成：</w:t>
      </w:r>
      <w:r/>
    </w:p>
    <w:p>
      <w:pPr>
        <w:ind w:firstLine="420"/>
        <w:spacing w:line="252" w:lineRule="auto"/>
        <w:rPr>
          <w:rFonts w:hint="eastAsia" w:ascii="宋体" w:hAnsi="宋体"/>
          <w:sz w:val="24"/>
        </w:rPr>
      </w:pPr>
      <w:r>
        <w:rPr>
          <w:rFonts w:hint="eastAsia" w:ascii="宋体" w:hAnsi="宋体"/>
          <w:sz w:val="24"/>
        </w:rPr>
        <w:t xml:space="preserve">（1）投标邀请</w:t>
      </w:r>
      <w:r/>
    </w:p>
    <w:p>
      <w:pPr>
        <w:ind w:firstLine="420"/>
        <w:spacing w:line="252" w:lineRule="auto"/>
        <w:rPr>
          <w:rFonts w:hint="eastAsia" w:ascii="宋体" w:hAnsi="宋体"/>
          <w:sz w:val="24"/>
        </w:rPr>
      </w:pPr>
      <w:r>
        <w:rPr>
          <w:rFonts w:hint="eastAsia" w:ascii="宋体" w:hAnsi="宋体"/>
          <w:sz w:val="24"/>
        </w:rPr>
        <w:t xml:space="preserve">（2）投标人须知</w:t>
      </w:r>
      <w:r/>
    </w:p>
    <w:p>
      <w:pPr>
        <w:ind w:firstLine="420"/>
        <w:spacing w:line="252" w:lineRule="auto"/>
        <w:rPr>
          <w:rFonts w:hint="eastAsia" w:ascii="宋体" w:hAnsi="宋体"/>
          <w:sz w:val="24"/>
        </w:rPr>
      </w:pPr>
      <w:r>
        <w:rPr>
          <w:rFonts w:hint="eastAsia" w:ascii="宋体" w:hAnsi="宋体"/>
          <w:sz w:val="24"/>
        </w:rPr>
        <w:t xml:space="preserve">（3）合同文本</w:t>
      </w:r>
      <w:r/>
    </w:p>
    <w:p>
      <w:pPr>
        <w:ind w:firstLine="420"/>
        <w:spacing w:line="252" w:lineRule="auto"/>
        <w:rPr>
          <w:rFonts w:hint="eastAsia" w:ascii="宋体" w:hAnsi="宋体"/>
          <w:sz w:val="24"/>
        </w:rPr>
      </w:pPr>
      <w:r>
        <w:rPr>
          <w:rFonts w:hint="eastAsia" w:ascii="宋体" w:hAnsi="宋体"/>
          <w:sz w:val="24"/>
        </w:rPr>
        <w:t xml:space="preserve">（4）采购需求</w:t>
      </w:r>
      <w:r/>
    </w:p>
    <w:p>
      <w:pPr>
        <w:ind w:firstLine="420"/>
        <w:spacing w:line="252" w:lineRule="auto"/>
        <w:rPr>
          <w:rFonts w:hint="eastAsia" w:ascii="宋体" w:hAnsi="宋体"/>
          <w:sz w:val="24"/>
        </w:rPr>
      </w:pPr>
      <w:r>
        <w:rPr>
          <w:rFonts w:hint="eastAsia" w:ascii="宋体" w:hAnsi="宋体"/>
          <w:sz w:val="24"/>
        </w:rPr>
        <w:t xml:space="preserve">（5）评标方法与评标标准</w:t>
      </w:r>
      <w:r/>
    </w:p>
    <w:p>
      <w:pPr>
        <w:ind w:firstLine="420"/>
        <w:spacing w:line="252" w:lineRule="auto"/>
        <w:rPr>
          <w:rFonts w:hint="eastAsia" w:ascii="宋体" w:hAnsi="宋体"/>
          <w:sz w:val="24"/>
        </w:rPr>
      </w:pPr>
      <w:r>
        <w:rPr>
          <w:rFonts w:hint="eastAsia" w:ascii="宋体" w:hAnsi="宋体"/>
          <w:sz w:val="24"/>
        </w:rPr>
        <w:t xml:space="preserve">（6）投标文件格式</w:t>
      </w:r>
      <w:r/>
    </w:p>
    <w:p>
      <w:pPr>
        <w:ind w:firstLine="420"/>
        <w:spacing w:line="252" w:lineRule="auto"/>
        <w:rPr>
          <w:rFonts w:hint="eastAsia" w:ascii="宋体" w:hAnsi="宋体"/>
          <w:sz w:val="24"/>
        </w:rPr>
      </w:pPr>
      <w:r>
        <w:rPr>
          <w:rFonts w:hint="eastAsia" w:ascii="宋体" w:hAnsi="宋体"/>
          <w:sz w:val="24"/>
        </w:rPr>
        <w:t xml:space="preserve">投标人应仔细检查招标文件是否齐全，如有缺漏请立即与交易中心联系。</w:t>
      </w:r>
      <w:r/>
    </w:p>
    <w:p>
      <w:pPr>
        <w:ind w:firstLine="420"/>
        <w:spacing w:line="252" w:lineRule="auto"/>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3"/>
        <w:ind w:firstLine="422"/>
        <w:spacing w:line="252" w:lineRule="auto"/>
        <w:rPr>
          <w:rFonts w:hint="eastAsia" w:ascii="方正楷体_GBK" w:hAnsi="方正楷体_GBK" w:eastAsia="方正楷体_GBK" w:cs="方正楷体_GBK"/>
          <w:b/>
          <w:bCs/>
        </w:rPr>
      </w:pPr>
      <w:r/>
      <w:bookmarkStart w:id="84" w:name="_Toc513029211"/>
      <w:r/>
      <w:bookmarkStart w:id="85" w:name="_Toc16938527"/>
      <w:r/>
      <w:bookmarkStart w:id="86" w:name="_Toc20823283"/>
      <w:r/>
      <w:bookmarkStart w:id="87" w:name="_Toc462564070"/>
      <w:r>
        <w:rPr>
          <w:rFonts w:hint="eastAsia" w:ascii="方正楷体_GBK" w:hAnsi="方正楷体_GBK" w:eastAsia="方正楷体_GBK" w:cs="方正楷体_GBK"/>
          <w:b/>
          <w:bCs/>
        </w:rPr>
        <w:t xml:space="preserve">7.招标文件的澄清</w:t>
      </w:r>
      <w:bookmarkEnd w:id="84"/>
      <w:r/>
      <w:bookmarkEnd w:id="85"/>
      <w:r/>
      <w:bookmarkEnd w:id="86"/>
      <w:r/>
      <w:bookmarkEnd w:id="87"/>
      <w:r/>
      <w:r/>
    </w:p>
    <w:p>
      <w:pPr>
        <w:ind w:firstLine="420"/>
        <w:spacing w:line="252" w:lineRule="auto"/>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693"/>
        <w:ind w:firstLine="422"/>
        <w:spacing w:line="252" w:lineRule="auto"/>
        <w:rPr>
          <w:rFonts w:hint="eastAsia" w:ascii="方正楷体_GBK" w:hAnsi="方正楷体_GBK" w:eastAsia="方正楷体_GBK" w:cs="方正楷体_GBK"/>
          <w:b/>
          <w:bCs/>
        </w:rPr>
      </w:pPr>
      <w:r/>
      <w:bookmarkStart w:id="88" w:name="_Toc16938528"/>
      <w:r/>
      <w:bookmarkStart w:id="89" w:name="_Toc462564071"/>
      <w:r/>
      <w:bookmarkStart w:id="90" w:name="_Toc513029212"/>
      <w:r/>
      <w:bookmarkStart w:id="91" w:name="_Toc20823284"/>
      <w:r>
        <w:rPr>
          <w:rFonts w:hint="eastAsia" w:ascii="方正楷体_GBK" w:hAnsi="方正楷体_GBK" w:eastAsia="方正楷体_GBK" w:cs="方正楷体_GBK"/>
          <w:b/>
          <w:bCs/>
        </w:rPr>
        <w:t xml:space="preserve">8.招标文件的修改</w:t>
      </w:r>
      <w:bookmarkEnd w:id="88"/>
      <w:r/>
      <w:bookmarkEnd w:id="89"/>
      <w:r/>
      <w:bookmarkEnd w:id="90"/>
      <w:r/>
      <w:bookmarkEnd w:id="91"/>
      <w:r/>
      <w:r/>
    </w:p>
    <w:p>
      <w:pPr>
        <w:ind w:firstLine="420"/>
        <w:spacing w:line="252" w:lineRule="auto"/>
        <w:rPr>
          <w:rFonts w:hint="eastAsia" w:ascii="宋体" w:hAnsi="宋体"/>
          <w:sz w:val="24"/>
        </w:rPr>
      </w:pPr>
      <w:r/>
      <w:bookmarkStart w:id="92" w:name="_Toc513029213"/>
      <w:r/>
      <w:bookmarkStart w:id="93" w:name="_Toc20823285"/>
      <w:r/>
      <w:bookmarkStart w:id="94" w:name="_Toc16938529"/>
      <w:r/>
      <w:bookmarkStart w:id="95" w:name="_Toc120614216"/>
      <w:r/>
      <w:bookmarkStart w:id="96" w:name="_Toc462564072"/>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spacing w:line="252" w:lineRule="auto"/>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spacing w:line="252" w:lineRule="auto"/>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69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2"/>
      <w:r/>
      <w:bookmarkEnd w:id="93"/>
      <w:r/>
      <w:bookmarkEnd w:id="94"/>
      <w:r/>
      <w:bookmarkEnd w:id="95"/>
      <w:r/>
      <w:bookmarkEnd w:id="96"/>
      <w:r/>
      <w:r/>
    </w:p>
    <w:p>
      <w:pPr>
        <w:pStyle w:val="693"/>
        <w:ind w:firstLine="422"/>
        <w:spacing w:line="252" w:lineRule="auto"/>
        <w:rPr>
          <w:rFonts w:hint="eastAsia" w:ascii="方正楷体_GBK" w:hAnsi="方正楷体_GBK" w:eastAsia="方正楷体_GBK" w:cs="方正楷体_GBK"/>
          <w:b/>
          <w:bCs/>
        </w:rPr>
      </w:pPr>
      <w:r/>
      <w:bookmarkStart w:id="97" w:name="_Toc16938530"/>
      <w:r/>
      <w:bookmarkStart w:id="98" w:name="_Toc20823286"/>
      <w:r/>
      <w:bookmarkStart w:id="99" w:name="_Toc513029214"/>
      <w:r/>
      <w:bookmarkStart w:id="100" w:name="_Toc462564073"/>
      <w:r>
        <w:rPr>
          <w:rFonts w:hint="eastAsia" w:ascii="方正楷体_GBK" w:hAnsi="方正楷体_GBK" w:eastAsia="方正楷体_GBK" w:cs="方正楷体_GBK"/>
          <w:b/>
          <w:bCs/>
        </w:rPr>
        <w:t xml:space="preserve">9.投标文件的语言及度量衡单位</w:t>
      </w:r>
      <w:bookmarkEnd w:id="97"/>
      <w:r/>
      <w:bookmarkEnd w:id="98"/>
      <w:r/>
      <w:bookmarkEnd w:id="99"/>
      <w:r/>
      <w:bookmarkEnd w:id="100"/>
      <w:r/>
      <w:r/>
    </w:p>
    <w:p>
      <w:pPr>
        <w:ind w:firstLine="420"/>
        <w:spacing w:line="252" w:lineRule="auto"/>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spacing w:line="252" w:lineRule="auto"/>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693"/>
        <w:ind w:firstLine="422"/>
        <w:spacing w:line="252" w:lineRule="auto"/>
        <w:rPr>
          <w:rFonts w:hint="eastAsia" w:ascii="方正楷体_GBK" w:hAnsi="方正楷体_GBK" w:eastAsia="方正楷体_GBK" w:cs="方正楷体_GBK"/>
          <w:b/>
          <w:bCs/>
        </w:rPr>
      </w:pPr>
      <w:r/>
      <w:bookmarkStart w:id="101" w:name="_Toc20823287"/>
      <w:r/>
      <w:bookmarkStart w:id="102" w:name="_Toc462564074"/>
      <w:r/>
      <w:bookmarkStart w:id="103" w:name="_Toc16938531"/>
      <w:r/>
      <w:bookmarkStart w:id="104" w:name="_Toc513029215"/>
      <w:r>
        <w:rPr>
          <w:rFonts w:hint="eastAsia" w:ascii="方正楷体_GBK" w:hAnsi="方正楷体_GBK" w:eastAsia="方正楷体_GBK" w:cs="方正楷体_GBK"/>
          <w:b/>
          <w:bCs/>
        </w:rPr>
        <w:t xml:space="preserve">10.投标文件构成</w:t>
      </w:r>
      <w:bookmarkEnd w:id="101"/>
      <w:r/>
      <w:bookmarkEnd w:id="102"/>
      <w:r/>
      <w:bookmarkEnd w:id="103"/>
      <w:r/>
      <w:bookmarkEnd w:id="104"/>
      <w:r/>
      <w:r/>
    </w:p>
    <w:p>
      <w:pPr>
        <w:ind w:firstLine="420"/>
        <w:spacing w:line="252" w:lineRule="auto"/>
        <w:rPr>
          <w:rFonts w:hint="eastAsia" w:ascii="宋体" w:hAnsi="宋体"/>
          <w:sz w:val="24"/>
          <w:szCs w:val="22"/>
        </w:rPr>
      </w:pPr>
      <w:r>
        <w:rPr>
          <w:rFonts w:hint="eastAsia" w:ascii="宋体" w:hAnsi="宋体"/>
          <w:sz w:val="24"/>
          <w:szCs w:val="22"/>
        </w:rPr>
        <w:t xml:space="preserve">10.1 投标人编写的投标文件应包括资格证明文件、符合性证明文件、投标分项报价表、响应及偏离表、其他证明文件、投标函、开标一览表等部分。</w:t>
      </w:r>
      <w:r/>
    </w:p>
    <w:p>
      <w:pPr>
        <w:ind w:firstLine="420"/>
        <w:spacing w:line="252" w:lineRule="auto"/>
        <w:rPr>
          <w:rFonts w:hint="eastAsia" w:ascii="宋体" w:hAnsi="宋体"/>
          <w:sz w:val="24"/>
          <w:szCs w:val="22"/>
        </w:rPr>
      </w:pPr>
      <w:r>
        <w:rPr>
          <w:rFonts w:hint="eastAsia" w:ascii="宋体" w:hAnsi="宋体"/>
          <w:sz w:val="24"/>
          <w:szCs w:val="22"/>
        </w:rPr>
        <w:t xml:space="preserve">10.2 如标书制作工具中格式和内容与“江苏政府采购网”发布的招标文件不一致，以“江苏政府采购网”发布的招标文件为准。</w:t>
      </w:r>
      <w:r/>
    </w:p>
    <w:p>
      <w:pPr>
        <w:pStyle w:val="693"/>
        <w:ind w:firstLine="422"/>
        <w:spacing w:line="252" w:lineRule="auto"/>
        <w:rPr>
          <w:rFonts w:hint="eastAsia" w:ascii="方正楷体_GBK" w:hAnsi="方正楷体_GBK" w:eastAsia="方正楷体_GBK" w:cs="方正楷体_GBK"/>
          <w:b/>
          <w:bCs/>
        </w:rPr>
      </w:pPr>
      <w:r/>
      <w:bookmarkStart w:id="105" w:name="_Hlt26668975"/>
      <w:r/>
      <w:bookmarkEnd w:id="105"/>
      <w:r/>
      <w:bookmarkStart w:id="106" w:name="_Hlt26670360"/>
      <w:r/>
      <w:bookmarkEnd w:id="106"/>
      <w:r/>
      <w:bookmarkStart w:id="107" w:name="_Hlt26954838"/>
      <w:r/>
      <w:bookmarkEnd w:id="107"/>
      <w:r/>
      <w:bookmarkStart w:id="108" w:name="_Toc14577354"/>
      <w:r/>
      <w:bookmarkStart w:id="109" w:name="_Toc49090507"/>
      <w:r/>
      <w:bookmarkStart w:id="110" w:name="_Toc14577357"/>
      <w:r/>
      <w:bookmarkStart w:id="111" w:name="_Toc513029219"/>
      <w:r/>
      <w:bookmarkStart w:id="112" w:name="_Toc513029216"/>
      <w:r/>
      <w:bookmarkStart w:id="113" w:name="_Toc49090509"/>
      <w:r>
        <w:rPr>
          <w:rFonts w:hint="eastAsia" w:ascii="方正楷体_GBK" w:hAnsi="方正楷体_GBK" w:eastAsia="方正楷体_GBK" w:cs="方正楷体_GBK"/>
          <w:b/>
          <w:bCs/>
        </w:rPr>
        <w:t xml:space="preserve">11.证明投标人及投标标的符合招标文件规定的文件</w:t>
      </w:r>
      <w:bookmarkEnd w:id="108"/>
      <w:r/>
      <w:bookmarkEnd w:id="109"/>
      <w:r/>
      <w:bookmarkEnd w:id="110"/>
      <w:r/>
      <w:bookmarkEnd w:id="111"/>
      <w:r/>
      <w:bookmarkEnd w:id="112"/>
      <w:r/>
      <w:bookmarkEnd w:id="113"/>
      <w:r/>
      <w:r/>
    </w:p>
    <w:p>
      <w:pPr>
        <w:ind w:firstLine="420"/>
        <w:spacing w:line="252" w:lineRule="auto"/>
        <w:rPr>
          <w:rFonts w:hint="eastAsia" w:ascii="宋体" w:hAnsi="宋体"/>
          <w:sz w:val="24"/>
        </w:rPr>
      </w:pPr>
      <w:r/>
      <w:bookmarkStart w:id="114" w:name="_Toc49090508"/>
      <w:r/>
      <w:bookmarkStart w:id="115" w:name="_Toc14577355"/>
      <w:r>
        <w:rPr>
          <w:rFonts w:hint="eastAsia" w:ascii="宋体" w:hAnsi="宋体"/>
          <w:sz w:val="24"/>
        </w:rPr>
        <w:t xml:space="preserve">11.1 投标人应按照法律、法规、规章和规范性文件以及招标文件要求提交证明文件，证明其投标标的符合招标文件规定。</w:t>
      </w:r>
      <w:r/>
    </w:p>
    <w:p>
      <w:pPr>
        <w:ind w:firstLine="420"/>
        <w:spacing w:line="252" w:lineRule="auto"/>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693"/>
        <w:ind w:firstLine="422"/>
        <w:spacing w:line="252" w:lineRule="auto"/>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12</w:t>
      </w:r>
      <w:bookmarkEnd w:id="114"/>
      <w:r/>
      <w:bookmarkEnd w:id="115"/>
      <w:r>
        <w:rPr>
          <w:rFonts w:hint="eastAsia" w:ascii="方正楷体_GBK" w:hAnsi="方正楷体_GBK" w:eastAsia="方正楷体_GBK" w:cs="方正楷体_GBK"/>
          <w:b/>
          <w:bCs/>
        </w:rPr>
        <w:t xml:space="preserve">.投标分项报价表（如有）</w:t>
      </w:r>
      <w:r/>
    </w:p>
    <w:p>
      <w:pPr>
        <w:ind w:firstLine="420"/>
        <w:spacing w:line="252" w:lineRule="auto"/>
        <w:rPr>
          <w:rFonts w:hint="eastAsia" w:ascii="宋体" w:hAnsi="宋体"/>
          <w:sz w:val="24"/>
        </w:rPr>
      </w:pPr>
      <w:r>
        <w:rPr>
          <w:rFonts w:hint="eastAsia" w:ascii="宋体" w:hAnsi="宋体"/>
          <w:sz w:val="24"/>
        </w:rPr>
        <w:t xml:space="preserve">12.1 投</w:t>
      </w:r>
      <w:bookmarkStart w:id="116" w:name="_Hlt26954840"/>
      <w:r/>
      <w:bookmarkEnd w:id="116"/>
      <w:r>
        <w:rPr>
          <w:rFonts w:hint="eastAsia" w:ascii="宋体" w:hAnsi="宋体"/>
          <w:sz w:val="24"/>
        </w:rPr>
        <w:t xml:space="preserve">标人应按照招标文件规定格式填报</w:t>
      </w:r>
      <w:bookmarkStart w:id="117" w:name="_Hlt26670399"/>
      <w:r/>
      <w:bookmarkEnd w:id="117"/>
      <w:r>
        <w:rPr>
          <w:rFonts w:hint="eastAsia" w:ascii="宋体" w:hAnsi="宋体"/>
          <w:sz w:val="24"/>
        </w:rPr>
        <w:t xml:space="preserve">投标分项报价表。</w:t>
      </w:r>
      <w:r/>
    </w:p>
    <w:p>
      <w:pPr>
        <w:ind w:firstLine="420"/>
        <w:spacing w:line="252" w:lineRule="auto"/>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693"/>
        <w:ind w:firstLine="422"/>
        <w:spacing w:line="252" w:lineRule="auto"/>
        <w:rPr>
          <w:rFonts w:hint="eastAsia" w:ascii="方正楷体_GBK" w:hAnsi="方正楷体_GBK" w:eastAsia="方正楷体_GBK" w:cs="方正楷体_GBK"/>
          <w:b/>
          <w:bCs/>
        </w:rPr>
      </w:pPr>
      <w:r/>
      <w:bookmarkStart w:id="118" w:name="_Hlt26954846"/>
      <w:r/>
      <w:bookmarkEnd w:id="118"/>
      <w:r/>
      <w:bookmarkStart w:id="119" w:name="_Hlt26954848"/>
      <w:r/>
      <w:bookmarkEnd w:id="119"/>
      <w:r/>
      <w:bookmarkStart w:id="120" w:name="_Hlt26670403"/>
      <w:r/>
      <w:bookmarkEnd w:id="120"/>
      <w:r/>
      <w:bookmarkStart w:id="121" w:name="_Hlt26954844"/>
      <w:r/>
      <w:bookmarkEnd w:id="121"/>
      <w:r/>
      <w:bookmarkStart w:id="122" w:name="_Hlt26670425"/>
      <w:r/>
      <w:bookmarkEnd w:id="122"/>
      <w:r/>
      <w:bookmarkStart w:id="123" w:name="_Hlt26954842"/>
      <w:r/>
      <w:bookmarkEnd w:id="123"/>
      <w:r/>
      <w:bookmarkStart w:id="124" w:name="_Hlt26670486"/>
      <w:r/>
      <w:bookmarkEnd w:id="124"/>
      <w:r/>
      <w:bookmarkStart w:id="125" w:name="_Hlt26668983"/>
      <w:r/>
      <w:bookmarkEnd w:id="125"/>
      <w:r/>
      <w:bookmarkStart w:id="126" w:name="_Hlt26954731"/>
      <w:r/>
      <w:bookmarkEnd w:id="126"/>
      <w:r/>
      <w:bookmarkStart w:id="127" w:name="_Hlt26670482"/>
      <w:r/>
      <w:bookmarkEnd w:id="127"/>
      <w:r>
        <w:rPr>
          <w:rFonts w:hint="eastAsia" w:ascii="方正楷体_GBK" w:hAnsi="方正楷体_GBK" w:eastAsia="方正楷体_GBK" w:cs="方正楷体_GBK"/>
          <w:b/>
          <w:bCs/>
        </w:rPr>
        <w:t xml:space="preserve">13.响应及偏离表</w:t>
      </w:r>
      <w:r/>
    </w:p>
    <w:p>
      <w:pPr>
        <w:ind w:firstLine="420"/>
        <w:spacing w:line="252" w:lineRule="auto"/>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spacing w:line="252" w:lineRule="auto"/>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693"/>
        <w:ind w:firstLine="422"/>
        <w:spacing w:line="252" w:lineRule="auto"/>
        <w:rPr>
          <w:rFonts w:hint="eastAsia" w:ascii="方正楷体_GBK" w:hAnsi="方正楷体_GBK" w:eastAsia="方正楷体_GBK" w:cs="方正楷体_GBK"/>
          <w:b/>
          <w:bCs/>
        </w:rPr>
      </w:pPr>
      <w:r/>
      <w:bookmarkStart w:id="128" w:name="_Toc49090510"/>
      <w:r/>
      <w:bookmarkStart w:id="129" w:name="_Toc14577359"/>
      <w:r>
        <w:rPr>
          <w:rFonts w:hint="eastAsia" w:ascii="方正楷体_GBK" w:hAnsi="方正楷体_GBK" w:eastAsia="方正楷体_GBK" w:cs="方正楷体_GBK"/>
          <w:b/>
          <w:bCs/>
        </w:rPr>
        <w:t xml:space="preserve">14.投标函和开标一览表</w:t>
      </w:r>
      <w:r/>
    </w:p>
    <w:p>
      <w:pPr>
        <w:ind w:firstLine="420"/>
        <w:spacing w:line="252" w:lineRule="auto"/>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p>
    <w:p>
      <w:pPr>
        <w:ind w:firstLine="420"/>
        <w:spacing w:line="252" w:lineRule="auto"/>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bookmarkEnd w:id="128"/>
      <w:r/>
      <w:bookmarkEnd w:id="129"/>
      <w:r/>
      <w:r/>
    </w:p>
    <w:p>
      <w:pPr>
        <w:pStyle w:val="693"/>
        <w:ind w:firstLine="422"/>
        <w:spacing w:line="252" w:lineRule="auto"/>
        <w:rPr>
          <w:rFonts w:hint="eastAsia" w:ascii="方正楷体_GBK" w:hAnsi="方正楷体_GBK" w:eastAsia="方正楷体_GBK" w:cs="方正楷体_GBK"/>
          <w:b/>
          <w:bCs/>
        </w:rPr>
      </w:pPr>
      <w:r/>
      <w:bookmarkStart w:id="130" w:name="_Hlt26670489"/>
      <w:r/>
      <w:bookmarkEnd w:id="130"/>
      <w:r/>
      <w:bookmarkStart w:id="131" w:name="_Hlt26954850"/>
      <w:r/>
      <w:bookmarkEnd w:id="131"/>
      <w:r/>
      <w:bookmarkStart w:id="132" w:name="_Hlt26954734"/>
      <w:r/>
      <w:bookmarkEnd w:id="132"/>
      <w:r/>
      <w:bookmarkStart w:id="133" w:name="_Toc14577360"/>
      <w:r/>
      <w:bookmarkStart w:id="134" w:name="_Toc49090511"/>
      <w:r>
        <w:rPr>
          <w:rFonts w:hint="eastAsia" w:ascii="方正楷体_GBK" w:hAnsi="方正楷体_GBK" w:eastAsia="方正楷体_GBK" w:cs="方正楷体_GBK"/>
          <w:b/>
          <w:bCs/>
        </w:rPr>
        <w:t xml:space="preserve">15.投标有效期</w:t>
      </w:r>
      <w:bookmarkEnd w:id="133"/>
      <w:r/>
      <w:bookmarkEnd w:id="134"/>
      <w:r/>
      <w:r/>
    </w:p>
    <w:p>
      <w:pPr>
        <w:ind w:firstLine="420"/>
        <w:spacing w:line="252" w:lineRule="auto"/>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pStyle w:val="693"/>
        <w:ind w:firstLine="422"/>
        <w:spacing w:line="252" w:lineRule="auto"/>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16.投标有效期的延长</w:t>
      </w:r>
      <w:r/>
    </w:p>
    <w:p>
      <w:pPr>
        <w:ind w:firstLine="420"/>
        <w:spacing w:line="252" w:lineRule="auto"/>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692"/>
        <w:ind w:firstLine="465"/>
        <w:spacing w:before="145" w:after="145" w:line="252" w:lineRule="auto"/>
        <w:rPr>
          <w:rFonts w:hint="eastAsia" w:ascii="方正黑体_GBK" w:hAnsi="方正黑体_GBK" w:eastAsia="方正黑体_GBK" w:cs="方正黑体_GBK"/>
          <w:b w:val="0"/>
          <w:bCs w:val="0"/>
          <w:sz w:val="30"/>
          <w:szCs w:val="30"/>
        </w:rPr>
      </w:pPr>
      <w:r/>
      <w:bookmarkStart w:id="135" w:name="_Hlt26954852"/>
      <w:r/>
      <w:bookmarkEnd w:id="135"/>
      <w:r/>
      <w:bookmarkStart w:id="136" w:name="_Hlt26954739"/>
      <w:r/>
      <w:bookmarkEnd w:id="136"/>
      <w:r/>
      <w:bookmarkStart w:id="137" w:name="_Toc16938540"/>
      <w:r/>
      <w:bookmarkStart w:id="138" w:name="_Toc120614217"/>
      <w:r/>
      <w:bookmarkStart w:id="139" w:name="_Toc20823296"/>
      <w:r/>
      <w:bookmarkStart w:id="140" w:name="_Toc513029224"/>
      <w:r/>
      <w:bookmarkStart w:id="141" w:name="_Toc16938553"/>
      <w:r/>
      <w:bookmarkStart w:id="142" w:name="_Toc513029237"/>
      <w:r/>
      <w:bookmarkStart w:id="143" w:name="_Toc20823309"/>
      <w:r>
        <w:rPr>
          <w:rFonts w:hint="eastAsia" w:ascii="方正黑体_GBK" w:hAnsi="方正黑体_GBK" w:eastAsia="方正黑体_GBK" w:cs="方正黑体_GBK"/>
          <w:b w:val="0"/>
          <w:bCs w:val="0"/>
          <w:sz w:val="30"/>
          <w:szCs w:val="30"/>
        </w:rPr>
        <w:t xml:space="preserve">四、投标文件的递交</w:t>
      </w:r>
      <w:bookmarkEnd w:id="137"/>
      <w:r/>
      <w:bookmarkEnd w:id="138"/>
      <w:r/>
      <w:bookmarkEnd w:id="139"/>
      <w:r/>
      <w:bookmarkEnd w:id="140"/>
      <w:r/>
      <w:r/>
    </w:p>
    <w:p>
      <w:pPr>
        <w:pStyle w:val="693"/>
        <w:ind w:firstLine="422"/>
        <w:spacing w:line="252" w:lineRule="auto"/>
        <w:rPr>
          <w:rFonts w:hint="eastAsia" w:ascii="方正楷体_GBK" w:hAnsi="方正楷体_GBK" w:eastAsia="方正楷体_GBK" w:cs="方正楷体_GBK"/>
          <w:b/>
          <w:bCs/>
        </w:rPr>
      </w:pPr>
      <w:r/>
      <w:bookmarkStart w:id="144" w:name="_Toc20823297"/>
      <w:r/>
      <w:bookmarkStart w:id="145" w:name="_Toc16938541"/>
      <w:r/>
      <w:bookmarkStart w:id="146" w:name="_Toc462564084"/>
      <w:r/>
      <w:bookmarkStart w:id="147" w:name="_Toc513029225"/>
      <w:r>
        <w:rPr>
          <w:rFonts w:hint="eastAsia" w:ascii="方正楷体_GBK" w:hAnsi="方正楷体_GBK" w:eastAsia="方正楷体_GBK" w:cs="方正楷体_GBK"/>
          <w:b/>
          <w:bCs/>
        </w:rPr>
        <w:t xml:space="preserve">17.投标文件</w:t>
      </w:r>
      <w:bookmarkEnd w:id="144"/>
      <w:r/>
      <w:bookmarkEnd w:id="145"/>
      <w:r/>
      <w:bookmarkEnd w:id="146"/>
      <w:r/>
      <w:bookmarkEnd w:id="147"/>
      <w:r>
        <w:rPr>
          <w:rFonts w:hint="eastAsia" w:ascii="方正楷体_GBK" w:hAnsi="方正楷体_GBK" w:eastAsia="方正楷体_GBK" w:cs="方正楷体_GBK"/>
          <w:b/>
          <w:bCs/>
        </w:rPr>
        <w:t xml:space="preserve">的递交</w:t>
      </w:r>
      <w:r/>
    </w:p>
    <w:p>
      <w:pPr>
        <w:ind w:firstLine="420"/>
        <w:spacing w:line="252" w:lineRule="auto"/>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8" w:name="_Toc513029226"/>
      <w:r/>
      <w:bookmarkEnd w:id="148"/>
      <w:r/>
      <w:bookmarkStart w:id="149" w:name="_Toc20823298"/>
      <w:r/>
      <w:bookmarkEnd w:id="149"/>
      <w:r/>
      <w:bookmarkStart w:id="150" w:name="_Toc16938542"/>
      <w:r/>
      <w:bookmarkEnd w:id="150"/>
      <w:r/>
      <w:r/>
    </w:p>
    <w:p>
      <w:pPr>
        <w:ind w:firstLine="420"/>
        <w:spacing w:line="252"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spacing w:line="252"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93"/>
        <w:ind w:firstLine="422"/>
        <w:spacing w:line="252" w:lineRule="auto"/>
        <w:rPr>
          <w:rFonts w:hint="eastAsia" w:ascii="方正楷体_GBK" w:hAnsi="方正楷体_GBK" w:eastAsia="方正楷体_GBK" w:cs="方正楷体_GBK"/>
          <w:b/>
          <w:bCs/>
        </w:rPr>
      </w:pPr>
      <w:r/>
      <w:bookmarkStart w:id="151" w:name="_Toc20823299"/>
      <w:r/>
      <w:bookmarkStart w:id="152" w:name="_Toc513029227"/>
      <w:r/>
      <w:bookmarkStart w:id="153" w:name="_Toc16938543"/>
      <w:r>
        <w:rPr>
          <w:rFonts w:hint="eastAsia" w:ascii="方正楷体_GBK" w:hAnsi="方正楷体_GBK" w:eastAsia="方正楷体_GBK" w:cs="方正楷体_GBK"/>
          <w:b/>
          <w:bCs/>
        </w:rPr>
        <w:t xml:space="preserve">18.投标文件</w:t>
      </w:r>
      <w:bookmarkEnd w:id="151"/>
      <w:r/>
      <w:bookmarkEnd w:id="152"/>
      <w:r/>
      <w:bookmarkEnd w:id="153"/>
      <w:r>
        <w:rPr>
          <w:rFonts w:hint="eastAsia" w:ascii="方正楷体_GBK" w:hAnsi="方正楷体_GBK" w:eastAsia="方正楷体_GBK" w:cs="方正楷体_GBK"/>
          <w:b/>
          <w:bCs/>
        </w:rPr>
        <w:t xml:space="preserve">的拒收</w:t>
      </w:r>
      <w:r/>
    </w:p>
    <w:p>
      <w:pPr>
        <w:ind w:firstLine="420"/>
        <w:spacing w:line="252"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693"/>
        <w:ind w:firstLine="422"/>
        <w:spacing w:line="252" w:lineRule="auto"/>
        <w:rPr>
          <w:rFonts w:hint="eastAsia" w:ascii="方正楷体_GBK" w:hAnsi="方正楷体_GBK" w:eastAsia="方正楷体_GBK" w:cs="方正楷体_GBK"/>
          <w:b/>
          <w:bCs/>
        </w:rPr>
      </w:pPr>
      <w:r/>
      <w:bookmarkStart w:id="154" w:name="_Toc20823300"/>
      <w:r/>
      <w:bookmarkStart w:id="155" w:name="_Toc513029228"/>
      <w:r/>
      <w:bookmarkStart w:id="156" w:name="_Toc16938544"/>
      <w:r>
        <w:rPr>
          <w:rFonts w:hint="eastAsia" w:ascii="方正楷体_GBK" w:hAnsi="方正楷体_GBK" w:eastAsia="方正楷体_GBK" w:cs="方正楷体_GBK"/>
          <w:b/>
          <w:bCs/>
        </w:rPr>
        <w:t xml:space="preserve">19.投标文件的撤回和修改</w:t>
      </w:r>
      <w:bookmarkEnd w:id="154"/>
      <w:r/>
      <w:bookmarkEnd w:id="155"/>
      <w:r/>
      <w:bookmarkEnd w:id="156"/>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7" w:name="_Toc16938545"/>
      <w:r/>
      <w:bookmarkStart w:id="158" w:name="_Toc20823301"/>
      <w:r/>
      <w:bookmarkStart w:id="159" w:name="_Toc513029229"/>
      <w:r/>
      <w:bookmarkStart w:id="160" w:name="_Toc120614218"/>
      <w:r/>
      <w:r/>
    </w:p>
    <w:p>
      <w:pPr>
        <w:pStyle w:val="69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7"/>
      <w:r/>
      <w:bookmarkEnd w:id="158"/>
      <w:r/>
      <w:bookmarkEnd w:id="159"/>
      <w:r/>
      <w:bookmarkEnd w:id="160"/>
      <w:r/>
      <w:r/>
    </w:p>
    <w:p>
      <w:pPr>
        <w:pStyle w:val="693"/>
        <w:ind w:firstLine="422"/>
        <w:spacing w:line="252" w:lineRule="auto"/>
        <w:rPr>
          <w:rFonts w:hint="eastAsia" w:ascii="方正楷体_GBK" w:hAnsi="方正楷体_GBK" w:eastAsia="方正楷体_GBK" w:cs="方正楷体_GBK"/>
          <w:b/>
          <w:bCs/>
        </w:rPr>
      </w:pPr>
      <w:r/>
      <w:bookmarkStart w:id="161" w:name="_Toc513029230"/>
      <w:r/>
      <w:bookmarkStart w:id="162" w:name="_Toc16938546"/>
      <w:r/>
      <w:bookmarkStart w:id="163" w:name="_Toc20823302"/>
      <w:r>
        <w:rPr>
          <w:rFonts w:hint="eastAsia" w:ascii="方正楷体_GBK" w:hAnsi="方正楷体_GBK" w:eastAsia="方正楷体_GBK" w:cs="方正楷体_GBK"/>
          <w:b/>
          <w:bCs/>
        </w:rPr>
        <w:t xml:space="preserve">20.开标</w:t>
      </w:r>
      <w:bookmarkEnd w:id="161"/>
      <w:r/>
      <w:bookmarkEnd w:id="162"/>
      <w:r/>
      <w:bookmarkEnd w:id="163"/>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693"/>
        <w:ind w:firstLine="422"/>
        <w:spacing w:line="252" w:lineRule="auto"/>
        <w:rPr>
          <w:rFonts w:hint="eastAsia" w:ascii="方正楷体_GBK" w:hAnsi="方正楷体_GBK" w:eastAsia="方正楷体_GBK" w:cs="方正楷体_GBK"/>
          <w:b/>
          <w:bCs/>
        </w:rPr>
      </w:pPr>
      <w:r/>
      <w:bookmarkStart w:id="164" w:name="_Toc20823303"/>
      <w:r/>
      <w:bookmarkStart w:id="165" w:name="_Toc16938547"/>
      <w:r/>
      <w:bookmarkStart w:id="166" w:name="_Toc513029231"/>
      <w:r>
        <w:rPr>
          <w:rFonts w:hint="eastAsia" w:ascii="方正楷体_GBK" w:hAnsi="方正楷体_GBK" w:eastAsia="方正楷体_GBK" w:cs="方正楷体_GBK"/>
          <w:b/>
          <w:bCs/>
        </w:rPr>
        <w:t xml:space="preserve">21.评标</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93"/>
        <w:ind w:firstLine="422"/>
        <w:spacing w:line="252" w:lineRule="auto"/>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22.评标过程的保密与公正</w:t>
      </w:r>
      <w:bookmarkEnd w:id="164"/>
      <w:r/>
      <w:bookmarkEnd w:id="165"/>
      <w:r/>
      <w:bookmarkEnd w:id="166"/>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693"/>
        <w:ind w:firstLine="422"/>
        <w:spacing w:line="252" w:lineRule="auto"/>
        <w:rPr>
          <w:rFonts w:hint="eastAsia" w:ascii="方正楷体_GBK" w:hAnsi="方正楷体_GBK" w:eastAsia="方正楷体_GBK" w:cs="方正楷体_GBK"/>
          <w:b/>
          <w:bCs/>
        </w:rPr>
      </w:pPr>
      <w:r/>
      <w:bookmarkStart w:id="167" w:name="_Toc16938548"/>
      <w:r/>
      <w:bookmarkStart w:id="168" w:name="_Toc20823304"/>
      <w:r/>
      <w:bookmarkStart w:id="169" w:name="_Toc513029232"/>
      <w:r>
        <w:rPr>
          <w:rFonts w:hint="eastAsia" w:ascii="方正楷体_GBK" w:hAnsi="方正楷体_GBK" w:eastAsia="方正楷体_GBK" w:cs="方正楷体_GBK"/>
          <w:b/>
          <w:bCs/>
        </w:rPr>
        <w:t xml:space="preserve">23.投标文件的澄清</w:t>
      </w:r>
      <w:bookmarkEnd w:id="167"/>
      <w:r/>
      <w:bookmarkEnd w:id="168"/>
      <w:r/>
      <w:bookmarkEnd w:id="169"/>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spacing w:line="252" w:lineRule="auto"/>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spacing w:line="252" w:lineRule="auto"/>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p>
    <w:p>
      <w:pPr>
        <w:pStyle w:val="693"/>
        <w:ind w:firstLine="422"/>
        <w:spacing w:line="252" w:lineRule="auto"/>
        <w:rPr>
          <w:rFonts w:hint="eastAsia" w:ascii="方正楷体_GBK" w:hAnsi="方正楷体_GBK" w:eastAsia="方正楷体_GBK" w:cs="方正楷体_GBK"/>
          <w:b/>
          <w:bCs/>
        </w:rPr>
      </w:pPr>
      <w:r/>
      <w:bookmarkStart w:id="170" w:name="_Toc20823305"/>
      <w:r/>
      <w:bookmarkStart w:id="171" w:name="_Toc513029233"/>
      <w:r/>
      <w:bookmarkStart w:id="172" w:name="_Toc16938549"/>
      <w:r>
        <w:rPr>
          <w:rFonts w:hint="eastAsia" w:ascii="方正楷体_GBK" w:hAnsi="方正楷体_GBK" w:eastAsia="方正楷体_GBK" w:cs="方正楷体_GBK"/>
          <w:b/>
          <w:bCs/>
        </w:rPr>
        <w:t xml:space="preserve">24.投标文件的</w:t>
      </w:r>
      <w:bookmarkEnd w:id="170"/>
      <w:r/>
      <w:bookmarkEnd w:id="171"/>
      <w:r/>
      <w:bookmarkEnd w:id="172"/>
      <w:r>
        <w:rPr>
          <w:rFonts w:hint="eastAsia" w:ascii="方正楷体_GBK" w:hAnsi="方正楷体_GBK" w:eastAsia="方正楷体_GBK" w:cs="方正楷体_GBK"/>
          <w:b/>
          <w:bCs/>
        </w:rPr>
        <w:t xml:space="preserve">审查</w:t>
      </w:r>
      <w:r/>
    </w:p>
    <w:p>
      <w:pPr>
        <w:ind w:firstLine="420"/>
        <w:spacing w:line="252" w:lineRule="auto"/>
        <w:rPr>
          <w:rFonts w:hint="eastAsia" w:ascii="宋体" w:hAnsi="宋体"/>
          <w:sz w:val="24"/>
          <w:lang w:val="zh-CN"/>
        </w:rPr>
      </w:pPr>
      <w:r>
        <w:rPr>
          <w:rFonts w:hint="eastAsia" w:ascii="宋体" w:hAnsi="宋体"/>
          <w:sz w:val="24"/>
          <w:lang w:val="zh-CN"/>
        </w:rPr>
        <w:t xml:space="preserve">24.1 投标文件审查分为资格审查和符合性审查。</w:t>
      </w:r>
      <w:r/>
    </w:p>
    <w:p>
      <w:pPr>
        <w:ind w:firstLine="420"/>
        <w:spacing w:line="252" w:lineRule="auto"/>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ind w:firstLine="420"/>
        <w:spacing w:line="252" w:lineRule="auto"/>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spacing w:line="252" w:lineRule="auto"/>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ind w:firstLine="420"/>
        <w:spacing w:line="252" w:lineRule="auto"/>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spacing w:line="252" w:lineRule="auto"/>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p>
    <w:p>
      <w:pPr>
        <w:ind w:firstLine="420"/>
        <w:spacing w:line="252" w:lineRule="auto"/>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spacing w:line="252" w:lineRule="auto"/>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spacing w:line="252" w:lineRule="auto"/>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spacing w:line="252" w:lineRule="auto"/>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spacing w:line="252" w:lineRule="auto"/>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spacing w:line="252" w:lineRule="auto"/>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spacing w:line="252" w:lineRule="auto"/>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spacing w:line="252" w:lineRule="auto"/>
        <w:rPr>
          <w:rFonts w:hint="eastAsia" w:ascii="宋体" w:hAnsi="宋体"/>
          <w:sz w:val="24"/>
          <w:lang w:val="zh-CN"/>
        </w:rPr>
      </w:pPr>
      <w:r/>
      <w:bookmarkStart w:id="173" w:name="_Toc20823306"/>
      <w:r/>
      <w:bookmarkStart w:id="174" w:name="_Toc16938550"/>
      <w:r/>
      <w:bookmarkStart w:id="175"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693"/>
        <w:ind w:firstLine="422"/>
        <w:spacing w:line="252" w:lineRule="auto"/>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3"/>
      <w:r/>
      <w:bookmarkEnd w:id="174"/>
      <w:r/>
      <w:bookmarkEnd w:id="175"/>
      <w:r>
        <w:rPr>
          <w:rFonts w:hint="eastAsia" w:ascii="方正楷体_GBK" w:hAnsi="方正楷体_GBK" w:eastAsia="方正楷体_GBK" w:cs="方正楷体_GBK"/>
          <w:b/>
          <w:bCs/>
        </w:rPr>
        <w:t xml:space="preserve">5.无效投标和废标</w:t>
      </w:r>
      <w:r/>
    </w:p>
    <w:p>
      <w:pPr>
        <w:ind w:firstLine="420"/>
        <w:spacing w:line="252" w:lineRule="auto"/>
        <w:rPr>
          <w:rFonts w:hint="eastAsia" w:ascii="宋体" w:hAnsi="宋体"/>
          <w:sz w:val="24"/>
          <w:lang w:val="zh-CN"/>
        </w:rPr>
      </w:pPr>
      <w:r/>
      <w:bookmarkStart w:id="176" w:name="_Toc20823307"/>
      <w:r/>
      <w:bookmarkStart w:id="177" w:name="_Toc513029235"/>
      <w:r/>
      <w:bookmarkStart w:id="178" w:name="_Toc16938551"/>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不符合招标文件中实质性要求和条件的</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spacing w:line="252" w:lineRule="auto"/>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spacing w:line="252" w:lineRule="auto"/>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0"/>
        <w:rPr>
          <w:rFonts w:ascii="宋体" w:hAnsi="宋体"/>
          <w:sz w:val="24"/>
        </w:rPr>
      </w:pPr>
      <w:r>
        <w:rPr>
          <w:rFonts w:hint="eastAsia" w:ascii="宋体" w:hAnsi="宋体"/>
          <w:sz w:val="24"/>
          <w:lang w:val="zh-CN"/>
        </w:rPr>
        <w:t xml:space="preserve">25.4 如出现25.2.1或25.3情形，招标活动失败，评审委员会</w:t>
      </w:r>
      <w:r>
        <w:rPr>
          <w:rFonts w:hint="eastAsia" w:ascii="宋体" w:hAnsi="宋体"/>
          <w:sz w:val="24"/>
        </w:rPr>
        <w:t xml:space="preserve">应对</w:t>
      </w:r>
      <w:r>
        <w:rPr>
          <w:rFonts w:hint="eastAsia" w:ascii="宋体" w:hAnsi="宋体"/>
          <w:sz w:val="24"/>
          <w:lang w:val="zh-CN"/>
        </w:rPr>
        <w:t xml:space="preserve">招标文件是否存在不合理条款</w:t>
      </w:r>
      <w:r>
        <w:rPr>
          <w:rFonts w:hint="eastAsia" w:ascii="宋体" w:hAnsi="宋体"/>
          <w:sz w:val="24"/>
        </w:rPr>
        <w:t xml:space="preserve">进行论证，并在评审报告中写明</w:t>
      </w:r>
      <w:r>
        <w:rPr>
          <w:rFonts w:hint="eastAsia" w:ascii="宋体" w:hAnsi="宋体"/>
          <w:sz w:val="24"/>
          <w:lang w:val="zh-CN"/>
        </w:rPr>
        <w:t xml:space="preserve">论证意见。</w:t>
      </w:r>
      <w:bookmarkEnd w:id="141"/>
      <w:r/>
      <w:bookmarkEnd w:id="142"/>
      <w:r/>
      <w:bookmarkEnd w:id="143"/>
      <w:r/>
      <w:bookmarkEnd w:id="176"/>
      <w:r/>
      <w:bookmarkEnd w:id="177"/>
      <w:r/>
      <w:bookmarkEnd w:id="178"/>
      <w:r/>
      <w:r/>
    </w:p>
    <w:p>
      <w:pPr>
        <w:pStyle w:val="692"/>
        <w:ind w:firstLine="465"/>
        <w:spacing w:before="145" w:after="145" w:line="252" w:lineRule="auto"/>
        <w:rPr>
          <w:rFonts w:hint="eastAsia" w:ascii="方正黑体_GBK" w:hAnsi="方正黑体_GBK" w:eastAsia="方正黑体_GBK" w:cs="方正黑体_GBK"/>
          <w:b w:val="0"/>
          <w:bCs w:val="0"/>
          <w:sz w:val="30"/>
          <w:szCs w:val="30"/>
        </w:rPr>
      </w:pPr>
      <w:r/>
      <w:bookmarkStart w:id="179" w:name="_Toc120614219"/>
      <w:r>
        <w:rPr>
          <w:rFonts w:hint="eastAsia" w:ascii="方正黑体_GBK" w:hAnsi="方正黑体_GBK" w:eastAsia="方正黑体_GBK" w:cs="方正黑体_GBK"/>
          <w:b w:val="0"/>
          <w:bCs w:val="0"/>
          <w:sz w:val="30"/>
          <w:szCs w:val="30"/>
        </w:rPr>
        <w:t xml:space="preserve">六、定标</w:t>
      </w:r>
      <w:bookmarkEnd w:id="179"/>
      <w:r/>
      <w:r/>
    </w:p>
    <w:p>
      <w:pPr>
        <w:pStyle w:val="693"/>
        <w:ind w:firstLine="422"/>
        <w:spacing w:line="252" w:lineRule="auto"/>
        <w:rPr>
          <w:rFonts w:hint="eastAsia" w:ascii="方正楷体_GBK" w:hAnsi="方正楷体_GBK" w:eastAsia="方正楷体_GBK" w:cs="方正楷体_GBK"/>
          <w:b/>
          <w:bCs/>
        </w:rPr>
      </w:pPr>
      <w:r/>
      <w:bookmarkStart w:id="180" w:name="_Toc513029238"/>
      <w:r/>
      <w:bookmarkStart w:id="181" w:name="_Toc20823310"/>
      <w:r/>
      <w:bookmarkStart w:id="182" w:name="_Toc16938554"/>
      <w:r>
        <w:rPr>
          <w:rFonts w:hint="eastAsia" w:ascii="方正楷体_GBK" w:hAnsi="方正楷体_GBK" w:eastAsia="方正楷体_GBK" w:cs="方正楷体_GBK"/>
          <w:b/>
          <w:bCs/>
        </w:rPr>
        <w:t xml:space="preserve">2</w:t>
      </w:r>
      <w:bookmarkEnd w:id="180"/>
      <w:r>
        <w:rPr>
          <w:rFonts w:hint="eastAsia" w:ascii="方正楷体_GBK" w:hAnsi="方正楷体_GBK" w:eastAsia="方正楷体_GBK" w:cs="方正楷体_GBK"/>
          <w:b/>
          <w:bCs/>
        </w:rPr>
        <w:t xml:space="preserve">6.确定</w:t>
      </w:r>
      <w:bookmarkEnd w:id="181"/>
      <w:r/>
      <w:bookmarkEnd w:id="182"/>
      <w:r>
        <w:rPr>
          <w:rFonts w:hint="eastAsia" w:ascii="方正楷体_GBK" w:hAnsi="方正楷体_GBK" w:eastAsia="方正楷体_GBK" w:cs="方正楷体_GBK"/>
          <w:b/>
          <w:bCs/>
        </w:rPr>
        <w:t xml:space="preserve">中标单位</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spacing w:line="252" w:lineRule="auto"/>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spacing w:line="252" w:lineRule="auto"/>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spacing w:line="252" w:lineRule="auto"/>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spacing w:line="252" w:lineRule="auto"/>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spacing w:line="252" w:lineRule="auto"/>
        <w:rPr>
          <w:rFonts w:hint="eastAsia" w:ascii="宋体" w:hAnsi="宋体"/>
          <w:sz w:val="24"/>
          <w:lang w:val="zh-CN"/>
        </w:rPr>
      </w:pPr>
      <w:r>
        <w:rPr>
          <w:rFonts w:hint="eastAsia" w:ascii="宋体" w:hAnsi="宋体"/>
          <w:sz w:val="24"/>
          <w:lang w:val="zh-CN"/>
        </w:rPr>
        <w:t xml:space="preserve">26.4.1 提供虚假材料谋取中标。</w:t>
      </w:r>
      <w:r/>
    </w:p>
    <w:p>
      <w:pPr>
        <w:ind w:firstLine="420"/>
        <w:spacing w:line="252" w:lineRule="auto"/>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ind w:firstLine="420"/>
        <w:spacing w:line="252" w:lineRule="auto"/>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p>
    <w:p>
      <w:pPr>
        <w:ind w:firstLine="420"/>
        <w:spacing w:line="252" w:lineRule="auto"/>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p>
    <w:p>
      <w:pPr>
        <w:ind w:firstLine="420"/>
        <w:spacing w:line="252" w:lineRule="auto"/>
        <w:rPr>
          <w:rFonts w:hint="eastAsia" w:ascii="宋体" w:hAnsi="宋体"/>
          <w:sz w:val="24"/>
          <w:lang w:val="zh-CN"/>
        </w:rPr>
      </w:pPr>
      <w:r>
        <w:rPr>
          <w:rFonts w:hint="eastAsia" w:ascii="宋体" w:hAnsi="宋体"/>
          <w:sz w:val="24"/>
          <w:lang w:val="zh-CN"/>
        </w:rPr>
        <w:t xml:space="preserve">26.4.5 采取不正当手段诋毁、排挤其他供应商。</w:t>
      </w:r>
      <w:r/>
    </w:p>
    <w:p>
      <w:pPr>
        <w:ind w:firstLine="420"/>
        <w:spacing w:line="252" w:lineRule="auto"/>
        <w:rPr>
          <w:rFonts w:hint="eastAsia" w:ascii="宋体" w:hAnsi="宋体"/>
          <w:b/>
          <w:bCs/>
          <w:sz w:val="24"/>
          <w:lang w:val="zh-CN"/>
        </w:rPr>
      </w:pPr>
      <w:r/>
      <w:bookmarkStart w:id="183"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83"/>
      <w:r/>
      <w:r/>
    </w:p>
    <w:p>
      <w:pPr>
        <w:pStyle w:val="693"/>
        <w:ind w:firstLine="422"/>
        <w:spacing w:line="252" w:lineRule="auto"/>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27.中标通知书</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spacing w:line="252" w:lineRule="auto"/>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92"/>
        <w:ind w:firstLine="465"/>
        <w:spacing w:before="145" w:after="145" w:line="252" w:lineRule="auto"/>
        <w:rPr>
          <w:rFonts w:hint="eastAsia" w:ascii="方正黑体_GBK" w:hAnsi="方正黑体_GBK" w:eastAsia="方正黑体_GBK" w:cs="方正黑体_GBK"/>
          <w:b w:val="0"/>
          <w:bCs w:val="0"/>
          <w:sz w:val="30"/>
          <w:szCs w:val="30"/>
        </w:rPr>
      </w:pPr>
      <w:r/>
      <w:bookmarkStart w:id="184" w:name="_Toc120614220"/>
      <w:r/>
      <w:bookmarkStart w:id="185" w:name="_Toc20823308"/>
      <w:r/>
      <w:bookmarkStart w:id="186" w:name="_Toc16938552"/>
      <w:r/>
      <w:bookmarkStart w:id="187" w:name="_Toc513029236"/>
      <w:r>
        <w:rPr>
          <w:rFonts w:hint="eastAsia" w:ascii="方正黑体_GBK" w:hAnsi="方正黑体_GBK" w:eastAsia="方正黑体_GBK" w:cs="方正黑体_GBK"/>
          <w:b w:val="0"/>
          <w:bCs w:val="0"/>
          <w:sz w:val="30"/>
          <w:szCs w:val="30"/>
        </w:rPr>
        <w:t xml:space="preserve">七、授予合同</w:t>
      </w:r>
      <w:bookmarkEnd w:id="184"/>
      <w:r/>
      <w:bookmarkEnd w:id="185"/>
      <w:r/>
      <w:bookmarkEnd w:id="186"/>
      <w:r/>
      <w:bookmarkEnd w:id="187"/>
      <w:r/>
      <w:r/>
    </w:p>
    <w:p>
      <w:pPr>
        <w:pStyle w:val="693"/>
        <w:ind w:firstLine="422"/>
        <w:spacing w:line="252" w:lineRule="auto"/>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28.签订合同</w:t>
      </w:r>
      <w:r/>
    </w:p>
    <w:p>
      <w:pPr>
        <w:ind w:firstLine="420"/>
        <w:spacing w:line="252" w:lineRule="auto"/>
        <w:rPr>
          <w:rFonts w:hint="eastAsia" w:ascii="宋体" w:hAnsi="宋体"/>
          <w:sz w:val="24"/>
          <w:lang w:val="zh-CN"/>
        </w:rPr>
      </w:pPr>
      <w:r>
        <w:rPr>
          <w:rFonts w:hint="eastAsia" w:ascii="宋体" w:hAnsi="宋体"/>
          <w:sz w:val="24"/>
          <w:lang w:val="zh-CN"/>
        </w:rPr>
        <w:t xml:space="preserve">28.l 中标人应当在《中标通知书》发出之日起三十日内，按照招标文件确定的事项与采购人签订政府采购合同。采购人于合同签订后2个工作日内通过苏采云系统进行公示。</w:t>
      </w:r>
      <w:r/>
    </w:p>
    <w:p>
      <w:pPr>
        <w:ind w:firstLine="420"/>
        <w:spacing w:line="252" w:lineRule="auto"/>
        <w:rPr>
          <w:rFonts w:hint="eastAsia" w:ascii="宋体" w:hAnsi="宋体"/>
          <w:sz w:val="24"/>
          <w:lang w:val="zh-CN"/>
        </w:rPr>
      </w:pPr>
      <w:r>
        <w:rPr>
          <w:rFonts w:hint="eastAsia" w:ascii="宋体" w:hAnsi="宋体"/>
          <w:sz w:val="24"/>
          <w:lang w:val="zh-CN"/>
        </w:rPr>
        <w:t xml:space="preserve">28.2 招标文件、中标人的投标文件及招标过程中有关澄清、承诺文件均作为合同附件。</w:t>
      </w:r>
      <w:r/>
    </w:p>
    <w:p>
      <w:pPr>
        <w:ind w:firstLine="420"/>
        <w:spacing w:line="252" w:lineRule="auto"/>
        <w:rPr>
          <w:rFonts w:hint="eastAsia" w:ascii="宋体" w:hAnsi="宋体"/>
          <w:sz w:val="24"/>
          <w:lang w:val="zh-CN"/>
        </w:rPr>
      </w:pPr>
      <w:r>
        <w:rPr>
          <w:rFonts w:hint="eastAsia" w:ascii="宋体" w:hAnsi="宋体"/>
          <w:sz w:val="24"/>
          <w:lang w:val="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252" w:lineRule="auto"/>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93"/>
        <w:ind w:firstLine="422"/>
        <w:spacing w:line="252" w:lineRule="auto"/>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29.标的物的追加</w:t>
      </w:r>
      <w:r/>
    </w:p>
    <w:p>
      <w:pPr>
        <w:ind w:firstLine="420"/>
        <w:spacing w:line="252" w:lineRule="auto"/>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p>
    <w:p>
      <w:pPr>
        <w:pStyle w:val="693"/>
        <w:ind w:firstLine="422"/>
        <w:spacing w:line="252" w:lineRule="auto"/>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30.政府采购履约资金扶持政策</w:t>
      </w:r>
      <w:r/>
    </w:p>
    <w:p>
      <w:pPr>
        <w:ind w:firstLine="420"/>
        <w:spacing w:line="252" w:lineRule="auto"/>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南京市公共资源交易平台网站“小企业融资平台”，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spacing w:line="252" w:lineRule="auto"/>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69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spacing w:line="252" w:lineRule="auto"/>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spacing w:line="252" w:lineRule="auto"/>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spacing w:line="252" w:lineRule="auto"/>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spacing w:line="252" w:lineRule="auto"/>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spacing w:line="252" w:lineRule="auto"/>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spacing w:line="252" w:lineRule="auto"/>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供应商（含潜在供应商）对采购方式、采购需求、供应商资格条件、评标方法和评标标准、合同文本的询问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sz w:val="24"/>
          <w:lang w:val="zh-CN"/>
        </w:rPr>
        <w:t xml:space="preserve">供应商对</w:t>
      </w:r>
      <w:r>
        <w:rPr>
          <w:rFonts w:hint="eastAsia" w:ascii="宋体" w:hAnsi="宋体"/>
          <w:sz w:val="24"/>
        </w:rPr>
        <w:t xml:space="preserve">采购过程、采购结果</w:t>
      </w:r>
      <w:r>
        <w:rPr>
          <w:rFonts w:hint="eastAsia" w:ascii="宋体" w:hAnsi="宋体"/>
          <w:sz w:val="24"/>
          <w:lang w:val="zh-CN"/>
        </w:rPr>
        <w:t xml:space="preserve">的询问</w:t>
      </w:r>
      <w:r>
        <w:rPr>
          <w:rFonts w:hint="eastAsia" w:ascii="宋体" w:hAnsi="宋体"/>
          <w:sz w:val="24"/>
        </w:rPr>
        <w:t xml:space="preserve">或</w:t>
      </w:r>
      <w:r>
        <w:rPr>
          <w:rFonts w:hint="eastAsia" w:ascii="宋体" w:hAnsi="宋体"/>
          <w:sz w:val="24"/>
          <w:lang w:val="zh-CN"/>
        </w:rPr>
        <w:t xml:space="preserve">质疑向交易中心提出，由交易中心负责答复。</w:t>
      </w:r>
      <w:r/>
    </w:p>
    <w:p>
      <w:pPr>
        <w:ind w:firstLine="422"/>
        <w:spacing w:line="252" w:lineRule="auto"/>
        <w:rPr>
          <w:rFonts w:hint="eastAsia" w:ascii="宋体" w:hAnsi="宋体"/>
          <w:b/>
          <w:bCs/>
          <w:sz w:val="24"/>
          <w:lang w:val="zh-CN"/>
        </w:rPr>
      </w:pPr>
      <w:r>
        <w:rPr>
          <w:rFonts w:hint="eastAsia" w:ascii="宋体" w:hAnsi="宋体"/>
          <w:b/>
          <w:bCs/>
          <w:sz w:val="24"/>
          <w:lang w:val="zh-CN"/>
        </w:rPr>
        <w:t xml:space="preserve">采购人《质疑函》接收人及联系方式：：南京市玄武区双龙巷5号4楼4</w:t>
      </w:r>
      <w:r>
        <w:rPr>
          <w:rFonts w:ascii="宋体" w:hAnsi="宋体"/>
          <w:b/>
          <w:bCs/>
          <w:sz w:val="24"/>
          <w:lang w:val="zh-CN"/>
        </w:rPr>
        <w:t xml:space="preserve">10（南京鼓楼医院医用物资采购中心）</w:t>
      </w:r>
      <w:r>
        <w:rPr>
          <w:rFonts w:hint="eastAsia" w:ascii="宋体" w:hAnsi="宋体"/>
          <w:b/>
          <w:bCs/>
          <w:sz w:val="24"/>
          <w:lang w:val="zh-CN"/>
        </w:rPr>
        <w:t xml:space="preserve"> 张</w:t>
      </w:r>
      <w:r>
        <w:rPr>
          <w:rFonts w:hint="eastAsia" w:ascii="宋体" w:hAnsi="宋体"/>
          <w:b/>
          <w:bCs/>
          <w:sz w:val="24"/>
          <w:lang w:val="en-US" w:eastAsia="zh-CN"/>
        </w:rPr>
        <w:t xml:space="preserve">老师</w:t>
      </w:r>
      <w:r>
        <w:rPr>
          <w:rFonts w:hint="eastAsia" w:ascii="宋体" w:hAnsi="宋体"/>
          <w:b/>
          <w:bCs/>
          <w:sz w:val="24"/>
          <w:lang w:val="zh-CN"/>
        </w:rPr>
        <w:t xml:space="preserve"> </w:t>
      </w:r>
      <w:r>
        <w:rPr>
          <w:rFonts w:ascii="宋体" w:hAnsi="宋体"/>
          <w:b/>
          <w:bCs/>
          <w:sz w:val="24"/>
          <w:lang w:val="zh-CN"/>
        </w:rPr>
        <w:t xml:space="preserve">025-83105006</w:t>
      </w:r>
      <w:r>
        <w:rPr>
          <w:rFonts w:hint="eastAsia" w:ascii="宋体" w:hAnsi="宋体"/>
          <w:b/>
          <w:bCs/>
          <w:sz w:val="24"/>
          <w:lang w:val="zh-CN"/>
        </w:rPr>
        <w:t xml:space="preserve">。</w:t>
      </w:r>
      <w:r/>
    </w:p>
    <w:p>
      <w:pPr>
        <w:ind w:firstLine="420"/>
        <w:spacing w:line="252" w:lineRule="auto"/>
        <w:rPr>
          <w:rFonts w:hint="eastAsia" w:ascii="宋体" w:hAnsi="宋体"/>
          <w:color w:val="0000ff"/>
          <w:sz w:val="24"/>
        </w:rPr>
      </w:pPr>
      <w:r>
        <w:rPr>
          <w:rFonts w:hint="eastAsia" w:ascii="宋体" w:hAnsi="宋体"/>
          <w:sz w:val="24"/>
          <w:lang w:val="zh-CN"/>
        </w:rPr>
        <w:t xml:space="preserve">交易中心《质疑函》接收部门为政府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，地址：南京市江东中路265号南京市公共资源交易中心北门，联系电话：025-68505926。</w:t>
      </w:r>
      <w:r>
        <w:rPr>
          <w:rFonts w:hint="eastAsia" w:ascii="宋体" w:hAnsi="宋体"/>
          <w:sz w:val="24"/>
        </w:rPr>
        <w:t xml:space="preserve">  </w:t>
      </w:r>
      <w:r>
        <w:rPr>
          <w:rFonts w:hint="eastAsia" w:ascii="宋体" w:hAnsi="宋体"/>
          <w:color w:val="0000ff"/>
          <w:sz w:val="24"/>
        </w:rPr>
        <w:t xml:space="preserve"> </w:t>
      </w:r>
      <w:r/>
    </w:p>
    <w:p>
      <w:pPr>
        <w:ind w:firstLine="422"/>
        <w:spacing w:line="252" w:lineRule="auto"/>
        <w:rPr>
          <w:rFonts w:hint="eastAsia" w:ascii="宋体" w:hAnsi="宋体"/>
          <w:b/>
          <w:bCs/>
          <w:sz w:val="24"/>
          <w:lang w:val="zh-CN"/>
        </w:rPr>
      </w:pPr>
      <w:r>
        <w:rPr>
          <w:rFonts w:hint="eastAsia" w:ascii="宋体" w:hAnsi="宋体"/>
          <w:b/>
          <w:bCs/>
          <w:sz w:val="24"/>
          <w:lang w:val="zh-CN"/>
        </w:rPr>
        <w:t xml:space="preserve">由采购人负责答复的质疑，采购人将《质疑答复函》抄送交易中心。</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spacing w:line="252" w:lineRule="auto"/>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92"/>
        <w:ind w:firstLine="465"/>
        <w:spacing w:before="145" w:after="145"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693"/>
        <w:ind w:firstLine="420"/>
        <w:spacing w:line="252"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color w:val="auto"/>
          <w:lang w:val="zh-CN"/>
        </w:rPr>
        <w:t xml:space="preserve">38.促进中小企业发展</w:t>
      </w:r>
      <w:r/>
    </w:p>
    <w:p>
      <w:pPr>
        <w:ind w:firstLine="420"/>
        <w:spacing w:line="252" w:lineRule="auto"/>
        <w:rPr>
          <w:rFonts w:hint="eastAsia" w:ascii="宋体" w:hAnsi="宋体"/>
          <w:sz w:val="24"/>
          <w:lang w:val="zh-CN"/>
        </w:rPr>
      </w:pPr>
      <w:r>
        <w:rPr>
          <w:rFonts w:hint="eastAsia" w:ascii="宋体" w:hAnsi="宋体"/>
          <w:sz w:val="24"/>
        </w:rPr>
        <w:t xml:space="preserve">38.1 </w:t>
      </w:r>
      <w:r>
        <w:rPr>
          <w:rFonts w:hint="eastAsia" w:ascii="宋体" w:hAnsi="宋体"/>
          <w:sz w:val="24"/>
          <w:lang w:val="zh-CN"/>
        </w:rPr>
        <w:t xml:space="preserve">本项目服务由中小企业承接的，投标供应商享受中小企业扶持政策。</w:t>
      </w:r>
      <w:r/>
    </w:p>
    <w:p>
      <w:pPr>
        <w:ind w:firstLine="420"/>
        <w:spacing w:line="252" w:lineRule="auto"/>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252" w:lineRule="auto"/>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spacing w:line="252" w:lineRule="auto"/>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spacing w:line="252" w:lineRule="auto"/>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spacing w:line="252" w:lineRule="auto"/>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693"/>
        <w:ind w:firstLine="420"/>
        <w:spacing w:line="252"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spacing w:line="252" w:lineRule="auto"/>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252" w:lineRule="auto"/>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spacing w:line="252" w:lineRule="auto"/>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693"/>
        <w:ind w:firstLine="420"/>
        <w:spacing w:line="252"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spacing w:line="252" w:lineRule="auto"/>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spacing w:line="252" w:lineRule="auto"/>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spacing w:line="252" w:lineRule="auto"/>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spacing w:line="252" w:lineRule="auto"/>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93"/>
        <w:ind w:firstLine="420"/>
        <w:spacing w:line="252"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spacing w:line="252" w:lineRule="auto"/>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693"/>
        <w:ind w:firstLine="422"/>
        <w:spacing w:line="252" w:lineRule="auto"/>
        <w:rPr>
          <w:rFonts w:ascii="方正楷体_GBK" w:hAnsi="方正楷体_GBK" w:eastAsia="方正楷体_GBK" w:cs="方正楷体_GBK"/>
          <w:b/>
          <w:bCs/>
        </w:rPr>
      </w:pPr>
      <w:r>
        <w:rPr>
          <w:rFonts w:hint="eastAsia" w:ascii="方正楷体_GBK" w:hAnsi="方正楷体_GBK" w:eastAsia="方正楷体_GBK" w:cs="方正楷体_GBK"/>
          <w:b/>
          <w:bCs/>
        </w:rPr>
        <w:t xml:space="preserve">42.</w:t>
      </w:r>
      <w:r>
        <w:rPr>
          <w:rFonts w:hint="eastAsia" w:ascii="方正楷体_GBK" w:hAnsi="方正楷体_GBK" w:eastAsia="方正楷体_GBK" w:cs="方正楷体_GBK"/>
          <w:b/>
          <w:bCs/>
          <w:lang w:val="zh-CN"/>
        </w:rPr>
        <w:t xml:space="preserve">网络产品、市场准入类产品采购</w:t>
      </w:r>
      <w:r/>
    </w:p>
    <w:p>
      <w:pPr>
        <w:ind w:firstLine="420"/>
        <w:spacing w:line="252" w:lineRule="auto"/>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spacing w:line="252" w:lineRule="auto"/>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93"/>
        <w:ind w:firstLine="422"/>
        <w:spacing w:line="252" w:lineRule="auto"/>
        <w:rPr>
          <w:rFonts w:hint="eastAsia" w:ascii="方正楷体_GBK" w:hAnsi="方正楷体_GBK" w:eastAsia="方正楷体_GBK" w:cs="方正楷体_GBK"/>
          <w:b/>
          <w:bCs/>
          <w:lang w:val="zh-CN"/>
        </w:rPr>
      </w:pPr>
      <w:r>
        <w:rPr>
          <w:rFonts w:hint="eastAsia" w:ascii="方正楷体_GBK" w:hAnsi="方正楷体_GBK" w:eastAsia="方正楷体_GBK" w:cs="方正楷体_GBK"/>
          <w:b/>
          <w:bCs/>
          <w:lang w:val="zh-CN"/>
        </w:rPr>
        <w:t xml:space="preserve">43.数据交易说明</w:t>
      </w:r>
      <w:r/>
    </w:p>
    <w:p>
      <w:pPr>
        <w:ind w:firstLine="420"/>
        <w:spacing w:line="252" w:lineRule="auto"/>
        <w:rPr>
          <w:rFonts w:hint="eastAsia" w:ascii="宋体" w:hAnsi="宋体"/>
          <w:sz w:val="24"/>
          <w:lang w:val="zh-CN"/>
        </w:rPr>
      </w:pPr>
      <w:r>
        <w:rPr>
          <w:rFonts w:hint="eastAsia" w:ascii="宋体" w:hAnsi="宋体"/>
          <w:sz w:val="24"/>
        </w:rPr>
        <w:t xml:space="preserve">43.1 </w:t>
      </w:r>
      <w:r>
        <w:rPr>
          <w:rFonts w:hint="eastAsia" w:ascii="宋体" w:hAnsi="宋体"/>
          <w:sz w:val="24"/>
          <w:lang w:val="zh-CN"/>
        </w:rPr>
        <w:t xml:space="preserve">数据交易标的包括数据产品、数据服务、数据工具。</w:t>
      </w:r>
      <w:r/>
    </w:p>
    <w:p>
      <w:pPr>
        <w:ind w:firstLine="420"/>
        <w:spacing w:line="252" w:lineRule="auto"/>
        <w:rPr>
          <w:rFonts w:hint="eastAsia" w:ascii="宋体" w:hAnsi="宋体"/>
          <w:sz w:val="24"/>
          <w:lang w:val="zh-CN"/>
        </w:rPr>
      </w:pPr>
      <w:r>
        <w:rPr>
          <w:rFonts w:hint="eastAsia" w:ascii="宋体" w:hAnsi="宋体"/>
          <w:sz w:val="24"/>
          <w:lang w:val="zh-CN"/>
        </w:rPr>
        <w:t xml:space="preserve">数据产品是指用于交易的数据和数据衍生产品，包括但不限于数据集、数据分析报告、数据可视化产品、数据指数、API 数据、加密数据等。</w:t>
      </w:r>
      <w:r/>
    </w:p>
    <w:p>
      <w:pPr>
        <w:ind w:firstLine="420"/>
        <w:spacing w:line="252" w:lineRule="auto"/>
        <w:rPr>
          <w:rFonts w:hint="eastAsia" w:ascii="宋体" w:hAnsi="宋体"/>
          <w:sz w:val="24"/>
          <w:lang w:val="zh-CN"/>
        </w:rPr>
      </w:pPr>
      <w:r>
        <w:rPr>
          <w:rFonts w:hint="eastAsia" w:ascii="宋体" w:hAnsi="宋体"/>
          <w:sz w:val="24"/>
          <w:lang w:val="zh-CN"/>
        </w:rPr>
        <w:t xml:space="preserve">数据服务是指提供数据收集、存储、使用、加工、传输等服务，包括但不限于数据采集和预处理服务、数据建模、分析处理服务、数据可视化服务、数据安全服务等。</w:t>
      </w:r>
      <w:r/>
    </w:p>
    <w:p>
      <w:pPr>
        <w:ind w:firstLine="420"/>
        <w:spacing w:line="252" w:lineRule="auto"/>
        <w:rPr>
          <w:rFonts w:hint="eastAsia" w:ascii="宋体" w:hAnsi="宋体"/>
          <w:sz w:val="24"/>
          <w:lang w:val="zh-CN"/>
        </w:rPr>
      </w:pPr>
      <w:r>
        <w:rPr>
          <w:rFonts w:hint="eastAsia" w:ascii="宋体" w:hAnsi="宋体"/>
          <w:sz w:val="24"/>
          <w:lang w:val="zh-CN"/>
        </w:rPr>
        <w:t xml:space="preserve">数据工具是指可实现数据服务的软硬件工具，包括但不限于数据存储和管理工具、数据采集工具、数据清洗工具、数据分析工具、数据可视化工具、数据安全工具等。</w:t>
      </w:r>
      <w:r/>
    </w:p>
    <w:p>
      <w:pPr>
        <w:rPr>
          <w:rFonts w:hint="eastAsia" w:ascii="宋体" w:hAnsi="宋体"/>
          <w:sz w:val="24"/>
          <w:lang w:val="zh-CN"/>
        </w:rPr>
      </w:pPr>
      <w:r>
        <w:rPr>
          <w:rFonts w:hint="eastAsia" w:ascii="宋体" w:hAnsi="宋体"/>
          <w:sz w:val="24"/>
          <w:lang w:val="zh-CN"/>
        </w:rPr>
      </w:r>
      <w:r/>
    </w:p>
    <w:p>
      <w:pPr>
        <w:pStyle w:val="921"/>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lang w:val="en-US"/>
        </w:rPr>
        <w:t xml:space="preserve">文本</w:t>
      </w:r>
      <w:r/>
    </w:p>
    <w:p>
      <w:pPr>
        <w:jc w:val="center"/>
        <w:spacing w:before="145" w:after="145"/>
        <w:rPr>
          <w:rFonts w:hint="eastAsia" w:ascii="宋体" w:hAnsi="宋体"/>
          <w:bCs/>
          <w:color w:val="000000"/>
          <w:sz w:val="24"/>
        </w:rPr>
      </w:pPr>
      <w:r/>
      <w:bookmarkStart w:id="188" w:name="_Toc20823315"/>
      <w:r/>
      <w:bookmarkStart w:id="189" w:name="_Toc16938559"/>
      <w:r/>
      <w:bookmarkStart w:id="190" w:name="_Toc513029243"/>
      <w:r>
        <w:rPr>
          <w:rFonts w:hint="eastAsia" w:ascii="宋体" w:hAnsi="宋体"/>
          <w:bCs/>
          <w:color w:val="000000"/>
          <w:sz w:val="24"/>
        </w:rPr>
        <w:t xml:space="preserve">以下为本项目的合同条款，合同双方不得对招标、投标文件内容作实质性修改。</w:t>
      </w:r>
      <w:r/>
    </w:p>
    <w:p>
      <w:pPr>
        <w:pStyle w:val="921"/>
        <w:ind w:left="0"/>
        <w:rPr>
          <w:rFonts w:hint="eastAsia"/>
        </w:rPr>
      </w:pPr>
      <w:r>
        <w:rPr>
          <w:rFonts w:hint="eastAsia"/>
        </w:rPr>
      </w:r>
      <w:r/>
    </w:p>
    <w:p>
      <w:pPr>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p>
    <w:p>
      <w:pPr>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rPr>
          <w:rFonts w:hint="eastAsia"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w:t>
      </w:r>
      <w:r>
        <w:rPr>
          <w:rFonts w:hint="eastAsia" w:ascii="宋体" w:hAnsi="宋体" w:cs="Courier New"/>
          <w:sz w:val="24"/>
          <w:szCs w:val="24"/>
        </w:rPr>
        <w:t xml:space="preserve">量：按招标文件及投标文件执行。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16"/>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本合同金额为（大写）：____________________圆（_________________元）人民币。</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rPr>
          <w:rFonts w:hint="eastAsia"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10</w:t>
      </w:r>
      <w:r>
        <w:rPr>
          <w:rFonts w:hint="eastAsia" w:ascii="宋体" w:hAnsi="宋体" w:cs="Courier New"/>
          <w:sz w:val="24"/>
          <w:szCs w:val="24"/>
        </w:rPr>
        <w:t xml:space="preserve">%缴纳履约保证金。合同履行结束后，甲方按以下约定退还：</w:t>
      </w:r>
      <w:r/>
    </w:p>
    <w:p>
      <w:pPr>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p>
    <w:p>
      <w:pPr>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p>
    <w:p>
      <w:pPr>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rPr>
          <w:rFonts w:hint="eastAsia" w:ascii="宋体" w:hAnsi="宋体" w:cs="Courier New"/>
          <w:color w:val="0000ff"/>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716"/>
        <w:rPr>
          <w:rFonts w:hint="eastAsia" w:hAnsi="宋体" w:cs="Courier New"/>
          <w:sz w:val="24"/>
          <w:szCs w:val="24"/>
        </w:rPr>
      </w:pPr>
      <w:r>
        <w:rPr>
          <w:rFonts w:hint="eastAsia" w:hAnsi="宋体" w:cs="Courier New"/>
          <w:sz w:val="24"/>
          <w:szCs w:val="24"/>
        </w:rPr>
        <w:t xml:space="preserve">8.1 合同款项的支付方式及时间</w:t>
      </w:r>
      <w:r/>
    </w:p>
    <w:p>
      <w:pPr>
        <w:pStyle w:val="716"/>
        <w:rPr>
          <w:rFonts w:hint="eastAsia" w:hAnsi="宋体" w:cs="Courier New"/>
          <w:sz w:val="24"/>
          <w:szCs w:val="24"/>
        </w:rPr>
      </w:pPr>
      <w:r>
        <w:rPr>
          <w:rFonts w:hint="eastAsia" w:hAnsi="宋体" w:cs="Courier New"/>
          <w:sz w:val="24"/>
          <w:szCs w:val="24"/>
        </w:rPr>
        <w:t xml:space="preserve">8.1.1 合同签订且服务团队人员到位后，甲方支付合同总价款的50%作为预付款。</w:t>
      </w:r>
      <w:r/>
    </w:p>
    <w:p>
      <w:pPr>
        <w:pStyle w:val="716"/>
        <w:rPr>
          <w:rFonts w:hint="eastAsia" w:hAnsi="宋体" w:cs="Courier New"/>
          <w:sz w:val="24"/>
          <w:szCs w:val="24"/>
        </w:rPr>
      </w:pPr>
      <w:r>
        <w:rPr>
          <w:rFonts w:hint="eastAsia" w:hAnsi="宋体" w:cs="Courier New"/>
          <w:sz w:val="24"/>
          <w:szCs w:val="24"/>
        </w:rPr>
        <w:t xml:space="preserve">8.1.2 项目验收合格，甲方支付合同总价款的50%。</w:t>
      </w:r>
      <w:r/>
    </w:p>
    <w:p>
      <w:pPr>
        <w:pStyle w:val="716"/>
        <w:rPr>
          <w:rFonts w:hint="eastAsia" w:hAnsi="宋体" w:cs="Courier New"/>
          <w:sz w:val="24"/>
          <w:szCs w:val="24"/>
        </w:rPr>
      </w:pPr>
      <w:r>
        <w:rPr>
          <w:rFonts w:hint="eastAsia" w:hAnsi="宋体" w:cs="Courier New"/>
          <w:sz w:val="24"/>
          <w:szCs w:val="24"/>
        </w:rPr>
        <w:t xml:space="preserve">8.1.3 满足合同约定支付条件的，甲方收到乙方发票后10个工作日内，将资金支付到合同约定的乙方账户。 </w:t>
      </w:r>
      <w:r/>
    </w:p>
    <w:p>
      <w:pPr>
        <w:pStyle w:val="716"/>
        <w:rPr>
          <w:rFonts w:hint="eastAsia" w:hAnsi="宋体" w:cs="Courier New"/>
          <w:sz w:val="24"/>
          <w:szCs w:val="24"/>
        </w:rPr>
      </w:pPr>
      <w:r>
        <w:rPr>
          <w:rFonts w:hint="eastAsia" w:hAnsi="宋体" w:cs="Courier New"/>
          <w:sz w:val="24"/>
          <w:szCs w:val="24"/>
        </w:rPr>
        <w:t xml:space="preserve">8.2 根据《保障中小企业款项支付条例》规定，甲方未按合同约定支付款项的，乙方可以向有关部门投诉。</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p>
    <w:p>
      <w:pPr>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宋体" w:hAnsi="宋体" w:cs="Courier New"/>
          <w:color w:val="000000"/>
          <w:sz w:val="24"/>
          <w:szCs w:val="24"/>
        </w:rPr>
      </w:pPr>
      <w:r>
        <w:rPr>
          <w:rFonts w:hint="eastAsia" w:ascii="宋体" w:hAnsi="宋体" w:cs="Courier New"/>
          <w:color w:val="000000"/>
          <w:sz w:val="24"/>
          <w:szCs w:val="24"/>
        </w:rPr>
        <w:t xml:space="preserve">十一、违约责任</w:t>
      </w:r>
      <w:r/>
    </w:p>
    <w:p>
      <w:pPr>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sz w:val="24"/>
          <w:szCs w:val="24"/>
          <w:u w:val="single"/>
        </w:rPr>
        <w:t xml:space="preserve">     </w:t>
      </w:r>
      <w:r>
        <w:rPr>
          <w:rFonts w:hint="eastAsia" w:ascii="宋体" w:hAnsi="宋体" w:cs="Courier New"/>
          <w:color w:val="000000"/>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p>
    <w:p>
      <w:pPr>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p>
    <w:p>
      <w:pPr>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716"/>
        <w:spacing w:before="120" w:after="120"/>
        <w:rPr>
          <w:rFonts w:hint="eastAsia" w:hAnsi="宋体"/>
          <w:sz w:val="24"/>
          <w:szCs w:val="24"/>
        </w:rPr>
      </w:pPr>
      <w:r>
        <w:rPr>
          <w:rFonts w:hint="eastAsia" w:hAnsi="宋体"/>
          <w:sz w:val="24"/>
          <w:szCs w:val="24"/>
        </w:rPr>
        <w:t xml:space="preserve">  </w:t>
      </w:r>
      <w:bookmarkEnd w:id="188"/>
      <w:r/>
      <w:bookmarkEnd w:id="189"/>
      <w:r/>
      <w:bookmarkEnd w:id="190"/>
      <w:r/>
      <w:r/>
    </w:p>
    <w:p>
      <w:pPr>
        <w:pStyle w:val="716"/>
        <w:ind w:firstLine="240"/>
        <w:spacing w:before="120" w:after="120"/>
        <w:rPr>
          <w:rFonts w:hint="eastAsia" w:hAnsi="宋体"/>
          <w:sz w:val="24"/>
          <w:szCs w:val="24"/>
        </w:rPr>
      </w:pPr>
      <w:r>
        <w:rPr>
          <w:rFonts w:hint="eastAsia" w:hAnsi="宋体"/>
          <w:sz w:val="24"/>
          <w:szCs w:val="24"/>
        </w:rPr>
        <w:t xml:space="preserve">甲方：（公章）                       乙方：（公章） </w:t>
      </w:r>
      <w:r/>
    </w:p>
    <w:p>
      <w:pPr>
        <w:pStyle w:val="716"/>
        <w:spacing w:before="120" w:after="120"/>
        <w:rPr>
          <w:rFonts w:hint="eastAsia" w:hAnsi="宋体"/>
          <w:sz w:val="24"/>
          <w:szCs w:val="24"/>
        </w:rPr>
      </w:pPr>
      <w:r>
        <w:rPr>
          <w:rFonts w:hint="eastAsia" w:hAnsi="宋体"/>
          <w:sz w:val="24"/>
          <w:szCs w:val="24"/>
        </w:rPr>
        <w:t xml:space="preserve">  地址：                               地址： </w:t>
      </w:r>
      <w:r/>
    </w:p>
    <w:p>
      <w:pPr>
        <w:pStyle w:val="716"/>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716"/>
        <w:ind w:firstLine="240"/>
        <w:spacing w:before="120" w:after="120"/>
        <w:rPr>
          <w:rFonts w:hint="eastAsia" w:hAnsi="宋体"/>
          <w:sz w:val="24"/>
          <w:szCs w:val="24"/>
        </w:rPr>
      </w:pPr>
      <w:r>
        <w:rPr>
          <w:rFonts w:hint="eastAsia" w:hAnsi="宋体"/>
          <w:sz w:val="24"/>
          <w:szCs w:val="24"/>
        </w:rPr>
        <w:t xml:space="preserve">联系电话：                           联系电话：          </w:t>
      </w:r>
      <w:r/>
    </w:p>
    <w:p>
      <w:pPr>
        <w:pStyle w:val="716"/>
        <w:spacing w:before="120" w:after="120"/>
        <w:rPr>
          <w:rFonts w:hint="eastAsia" w:hAnsi="宋体"/>
          <w:sz w:val="24"/>
          <w:szCs w:val="24"/>
        </w:rPr>
      </w:pPr>
      <w:r>
        <w:rPr>
          <w:rFonts w:hint="eastAsia" w:hAnsi="宋体"/>
          <w:sz w:val="24"/>
          <w:szCs w:val="24"/>
        </w:rPr>
        <w:t xml:space="preserve">                                          </w:t>
      </w:r>
      <w:r/>
    </w:p>
    <w:p>
      <w:pPr>
        <w:pStyle w:val="716"/>
        <w:ind w:firstLine="5280"/>
        <w:spacing w:before="120" w:after="120"/>
        <w:rPr>
          <w:rFonts w:hint="eastAsia" w:hAnsi="宋体"/>
          <w:sz w:val="24"/>
          <w:szCs w:val="24"/>
        </w:rPr>
      </w:pPr>
      <w:r>
        <w:rPr>
          <w:rFonts w:hint="eastAsia" w:hAnsi="宋体"/>
          <w:sz w:val="24"/>
          <w:szCs w:val="24"/>
        </w:rPr>
        <w:t xml:space="preserve">签订日期：</w:t>
      </w:r>
      <w:r/>
    </w:p>
    <w:p>
      <w:pPr>
        <w:pStyle w:val="716"/>
        <w:ind w:firstLine="4800"/>
        <w:spacing w:before="120" w:after="120"/>
        <w:rPr>
          <w:rFonts w:hint="eastAsia" w:hAnsi="宋体"/>
          <w:sz w:val="24"/>
          <w:szCs w:val="24"/>
        </w:rPr>
      </w:pPr>
      <w:r>
        <w:rPr>
          <w:rFonts w:hint="eastAsia" w:hAnsi="宋体"/>
          <w:sz w:val="24"/>
          <w:szCs w:val="24"/>
        </w:rPr>
      </w:r>
      <w:r/>
    </w:p>
    <w:p>
      <w:pPr>
        <w:jc w:val="center"/>
        <w:spacing w:before="145" w:after="145"/>
        <w:rPr>
          <w:rFonts w:hint="eastAsia" w:ascii="宋体" w:hAnsi="宋体"/>
          <w:b/>
          <w:sz w:val="30"/>
        </w:rPr>
      </w:pPr>
      <w:r>
        <w:rPr>
          <w:rFonts w:hint="eastAsia" w:ascii="宋体" w:hAnsi="宋体"/>
          <w:b/>
          <w:sz w:val="30"/>
        </w:rPr>
      </w:r>
      <w:r/>
    </w:p>
    <w:p>
      <w:pPr>
        <w:jc w:val="center"/>
        <w:spacing w:before="145" w:after="145"/>
        <w:rPr>
          <w:rFonts w:hint="eastAsia" w:ascii="宋体" w:hAnsi="宋体"/>
          <w:b/>
          <w:sz w:val="30"/>
        </w:rPr>
        <w:outlineLvl w:val="1"/>
      </w:pPr>
      <w:r>
        <w:rPr>
          <w:rFonts w:hint="eastAsia" w:ascii="宋体" w:hAnsi="宋体"/>
          <w:b/>
          <w:sz w:val="30"/>
        </w:rPr>
        <w:t xml:space="preserve">《*******合同》补充协议（合同附件）</w:t>
      </w:r>
      <w:r/>
    </w:p>
    <w:p>
      <w:pPr>
        <w:pStyle w:val="716"/>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p>
    <w:p>
      <w:pPr>
        <w:pStyle w:val="716"/>
        <w:ind w:firstLine="840"/>
        <w:jc w:val="left"/>
        <w:spacing w:before="120" w:after="120"/>
        <w:rPr>
          <w:rFonts w:hint="eastAsia" w:hAnsi="宋体"/>
          <w:color w:val="000000"/>
          <w:sz w:val="24"/>
          <w:szCs w:val="24"/>
        </w:rPr>
      </w:pPr>
      <w:r>
        <w:rPr>
          <w:rFonts w:hint="eastAsia" w:hAnsi="宋体"/>
          <w:color w:val="000000"/>
          <w:sz w:val="24"/>
          <w:szCs w:val="24"/>
        </w:rPr>
      </w:r>
      <w:r/>
    </w:p>
    <w:p>
      <w:pPr>
        <w:pStyle w:val="9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hAnsi="宋体"/>
          <w:color w:val="000000"/>
          <w:sz w:val="24"/>
          <w:szCs w:val="24"/>
        </w:rPr>
        <w:br w:type="page" w:clear="all"/>
      </w:r>
      <w:r>
        <w:rPr>
          <w:rFonts w:hint="eastAsia" w:ascii="方正小标宋简体" w:hAnsi="方正小标宋简体" w:eastAsia="方正小标宋简体" w:cs="方正小标宋简体"/>
          <w:color w:val="000000"/>
          <w:sz w:val="36"/>
          <w:szCs w:val="36"/>
        </w:rPr>
        <w:t xml:space="preserve">第</w:t>
      </w:r>
      <w:bookmarkEnd w:id="42"/>
      <w:r>
        <w:rPr>
          <w:rFonts w:hint="eastAsia" w:ascii="方正小标宋简体" w:hAnsi="方正小标宋简体" w:eastAsia="方正小标宋简体" w:cs="方正小标宋简体"/>
          <w:color w:val="000000"/>
          <w:sz w:val="36"/>
          <w:szCs w:val="36"/>
        </w:rPr>
        <w:t xml:space="preserve">四章  采购需求</w:t>
      </w:r>
      <w:bookmarkEnd w:id="43"/>
      <w:r/>
      <w:bookmarkEnd w:id="44"/>
      <w:r/>
      <w:bookmarkEnd w:id="45"/>
      <w:r/>
      <w:r/>
    </w:p>
    <w:p>
      <w:pPr>
        <w:ind w:firstLine="480"/>
        <w:keepLines w:val="0"/>
        <w:keepNext w:val="0"/>
        <w:pageBreakBefore w:val="0"/>
        <w:spacing w:line="240" w:lineRule="auto"/>
        <w:widowControl w:val="off"/>
        <w:rPr>
          <w:rFonts w:hint="eastAsia" w:ascii="黑体" w:hAnsi="黑体" w:eastAsia="黑体" w:cs="黑体"/>
          <w:color w:val="000000"/>
          <w:sz w:val="24"/>
          <w:szCs w:val="24"/>
        </w:rPr>
      </w:pPr>
      <w:r/>
      <w:bookmarkStart w:id="191" w:name="_Toc26554093"/>
      <w:r/>
      <w:bookmarkStart w:id="192"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p>
    <w:p>
      <w:pPr>
        <w:ind w:firstLine="480"/>
        <w:keepLines w:val="0"/>
        <w:keepNext w:val="0"/>
        <w:pageBreakBefore w:val="0"/>
        <w:spacing w:line="240" w:lineRule="auto"/>
        <w:widowControl w:val="off"/>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（一）项目背景</w:t>
      </w:r>
      <w:r/>
    </w:p>
    <w:p>
      <w:pPr>
        <w:ind w:firstLine="480"/>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为确保</w:t>
      </w:r>
      <w:r>
        <w:rPr>
          <w:rFonts w:hint="eastAsia" w:ascii="宋体" w:hAnsi="宋体" w:cs="宋体"/>
          <w:bCs/>
          <w:sz w:val="24"/>
          <w:szCs w:val="24"/>
          <w:lang w:val="en-US" w:eastAsia="zh-CN"/>
        </w:rPr>
        <w:t xml:space="preserve">鼓楼医院</w:t>
      </w:r>
      <w:r>
        <w:rPr>
          <w:rFonts w:hint="eastAsia" w:ascii="宋体" w:hAnsi="宋体" w:cs="宋体"/>
          <w:bCs/>
          <w:sz w:val="24"/>
          <w:szCs w:val="24"/>
        </w:rPr>
        <w:t xml:space="preserve">教学管理工作的全面闭环管理，系统必须具备高度的前瞻性与可扩展性。系统设计应采用模块化、平台化的先进架构，以灵活适应未来技术与业务的持续演进，支持功能的快速迭代与无缝扩充。同时，系统</w:t>
      </w:r>
      <w:r>
        <w:rPr>
          <w:rFonts w:hint="eastAsia" w:ascii="宋体" w:hAnsi="宋体" w:cs="宋体"/>
          <w:bCs/>
          <w:sz w:val="24"/>
          <w:szCs w:val="24"/>
          <w:lang w:val="en-US" w:eastAsia="zh-CN"/>
        </w:rPr>
        <w:t xml:space="preserve">应</w:t>
      </w:r>
      <w:r>
        <w:rPr>
          <w:rFonts w:hint="eastAsia" w:ascii="宋体" w:hAnsi="宋体" w:cs="宋体"/>
          <w:bCs/>
          <w:sz w:val="24"/>
          <w:szCs w:val="24"/>
        </w:rPr>
        <w:t xml:space="preserve">深度融入医院信息化生态，满足与医院核心系统的集成，确保数据互联互通，从而构建一个既能满足当前精细化管理需求，又能支撑医院长远发展战略的智慧教学新基座。</w:t>
      </w:r>
      <w:r/>
    </w:p>
    <w:p>
      <w:pPr>
        <w:ind w:firstLine="480"/>
        <w:keepLines w:val="0"/>
        <w:keepNext w:val="0"/>
        <w:pageBreakBefore w:val="0"/>
        <w:spacing w:line="240" w:lineRule="auto"/>
        <w:widowControl w:val="off"/>
        <w:rPr>
          <w:rFonts w:hint="eastAsia" w:ascii="黑体" w:hAnsi="黑体" w:eastAsia="黑体" w:cs="黑体"/>
          <w:sz w:val="24"/>
          <w:szCs w:val="24"/>
        </w:rPr>
      </w:pPr>
      <w:r>
        <w:rPr>
          <w:rFonts w:hint="eastAsia" w:ascii="黑体" w:hAnsi="黑体" w:eastAsia="黑体" w:cs="黑体"/>
          <w:sz w:val="24"/>
          <w:szCs w:val="24"/>
        </w:rPr>
        <w:t xml:space="preserve">（二）项目建设遵循标准</w:t>
      </w:r>
      <w:r/>
    </w:p>
    <w:p>
      <w:pPr>
        <w:ind w:firstLine="480"/>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遵循国家、行业及地方现行的规范和标准。</w:t>
      </w:r>
      <w:r/>
    </w:p>
    <w:p>
      <w:pPr>
        <w:ind w:firstLine="480"/>
        <w:keepLines w:val="0"/>
        <w:keepNext w:val="0"/>
        <w:pageBreakBefore w:val="0"/>
        <w:spacing w:line="240" w:lineRule="auto"/>
        <w:widowControl w:val="off"/>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Style w:val="699"/>
        <w:tblW w:w="5024" w:type="pct"/>
        <w:tblInd w:w="-1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47"/>
        <w:gridCol w:w="2089"/>
        <w:gridCol w:w="675"/>
        <w:gridCol w:w="607"/>
        <w:gridCol w:w="1408"/>
        <w:gridCol w:w="1123"/>
        <w:gridCol w:w="2168"/>
        <w:gridCol w:w="992"/>
      </w:tblGrid>
      <w:tr>
        <w:trPr>
          <w:trHeight w:val="470"/>
        </w:trPr>
        <w:tc>
          <w:tcPr>
            <w:tcBorders>
              <w:top w:val="single" w:color="000000" w:sz="2" w:space="0"/>
              <w:bottom w:val="single" w:color="000000" w:sz="2" w:space="0"/>
            </w:tcBorders>
            <w:tcW w:w="381" w:type="pct"/>
            <w:vAlign w:val="center"/>
            <w:textDirection w:val="lrTb"/>
            <w:noWrap w:val="false"/>
          </w:tcPr>
          <w:p>
            <w:pPr>
              <w:jc w:val="center"/>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2" w:space="0"/>
              <w:bottom w:val="single" w:color="000000" w:sz="2" w:space="0"/>
            </w:tcBorders>
            <w:tcW w:w="1064" w:type="pct"/>
            <w:vAlign w:val="center"/>
            <w:textDirection w:val="lrTb"/>
            <w:noWrap w:val="false"/>
          </w:tcPr>
          <w:p>
            <w:pPr>
              <w:jc w:val="center"/>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分项名称</w:t>
            </w:r>
            <w:r/>
          </w:p>
        </w:tc>
        <w:tc>
          <w:tcPr>
            <w:tcBorders>
              <w:top w:val="single" w:color="000000" w:sz="2" w:space="0"/>
              <w:bottom w:val="single" w:color="000000" w:sz="2" w:space="0"/>
            </w:tcBorders>
            <w:tcW w:w="344" w:type="pct"/>
            <w:vAlign w:val="center"/>
            <w:textDirection w:val="lrTb"/>
            <w:noWrap w:val="false"/>
          </w:tcPr>
          <w:p>
            <w:pPr>
              <w:jc w:val="center"/>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数量</w:t>
            </w:r>
            <w:r/>
          </w:p>
        </w:tc>
        <w:tc>
          <w:tcPr>
            <w:tcBorders>
              <w:top w:val="single" w:color="000000" w:sz="2" w:space="0"/>
              <w:bottom w:val="single" w:color="000000" w:sz="2" w:space="0"/>
            </w:tcBorders>
            <w:tcW w:w="309" w:type="pct"/>
            <w:vAlign w:val="center"/>
            <w:textDirection w:val="lrTb"/>
            <w:noWrap w:val="false"/>
          </w:tcPr>
          <w:p>
            <w:pPr>
              <w:jc w:val="center"/>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单位</w:t>
            </w:r>
            <w:r/>
          </w:p>
        </w:tc>
        <w:tc>
          <w:tcPr>
            <w:tcBorders>
              <w:top w:val="single" w:color="000000" w:sz="2" w:space="0"/>
              <w:bottom w:val="single" w:color="000000" w:sz="2" w:space="0"/>
            </w:tcBorders>
            <w:tcW w:w="717" w:type="pct"/>
            <w:vAlign w:val="center"/>
            <w:textDirection w:val="lrTb"/>
            <w:noWrap w:val="false"/>
          </w:tcPr>
          <w:p>
            <w:pPr>
              <w:jc w:val="center"/>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产品类型</w:t>
            </w:r>
            <w:r/>
          </w:p>
        </w:tc>
        <w:tc>
          <w:tcPr>
            <w:tcBorders>
              <w:top w:val="single" w:color="000000" w:sz="2" w:space="0"/>
              <w:bottom w:val="single" w:color="000000" w:sz="2" w:space="0"/>
            </w:tcBorders>
            <w:tcW w:w="572" w:type="pct"/>
            <w:vAlign w:val="center"/>
            <w:textDirection w:val="lrTb"/>
            <w:noWrap w:val="false"/>
          </w:tcPr>
          <w:p>
            <w:pPr>
              <w:jc w:val="center"/>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单价上限</w:t>
            </w:r>
            <w:r/>
          </w:p>
          <w:p>
            <w:pPr>
              <w:jc w:val="center"/>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（元）</w:t>
            </w:r>
            <w:r/>
          </w:p>
        </w:tc>
        <w:tc>
          <w:tcPr>
            <w:tcBorders>
              <w:top w:val="single" w:color="000000" w:sz="2" w:space="0"/>
              <w:bottom w:val="single" w:color="000000" w:sz="2" w:space="0"/>
            </w:tcBorders>
            <w:tcW w:w="1104" w:type="pct"/>
            <w:vAlign w:val="center"/>
            <w:textDirection w:val="lrTb"/>
            <w:noWrap w:val="false"/>
          </w:tcPr>
          <w:p>
            <w:pPr>
              <w:jc w:val="center"/>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所属行业</w:t>
            </w:r>
            <w:r/>
          </w:p>
        </w:tc>
        <w:tc>
          <w:tcPr>
            <w:tcBorders>
              <w:top w:val="single" w:color="000000" w:sz="2" w:space="0"/>
              <w:bottom w:val="single" w:color="000000" w:sz="2" w:space="0"/>
            </w:tcBorders>
            <w:tcW w:w="505" w:type="pct"/>
            <w:vAlign w:val="center"/>
            <w:textDirection w:val="lrTb"/>
            <w:noWrap w:val="false"/>
          </w:tcPr>
          <w:p>
            <w:pPr>
              <w:jc w:val="center"/>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属性</w:t>
            </w:r>
            <w:r/>
          </w:p>
        </w:tc>
      </w:tr>
      <w:tr>
        <w:trPr>
          <w:trHeight w:val="597"/>
        </w:trPr>
        <w:tc>
          <w:tcPr>
            <w:tcBorders>
              <w:top w:val="single" w:color="000000" w:sz="2" w:space="0"/>
              <w:bottom w:val="single" w:color="000000" w:sz="2" w:space="0"/>
            </w:tcBorders>
            <w:tcW w:w="381" w:type="pct"/>
            <w:vAlign w:val="center"/>
            <w:textDirection w:val="lrTb"/>
            <w:noWrap w:val="false"/>
          </w:tcPr>
          <w:p>
            <w:pPr>
              <w:jc w:val="center"/>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bottom w:val="single" w:color="000000" w:sz="2" w:space="0"/>
            </w:tcBorders>
            <w:tcW w:w="1064" w:type="pct"/>
            <w:vAlign w:val="center"/>
            <w:textDirection w:val="lrTb"/>
            <w:noWrap w:val="false"/>
          </w:tcPr>
          <w:p>
            <w:pPr>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智慧教学一体化信息管理平台</w:t>
            </w:r>
            <w:r/>
          </w:p>
        </w:tc>
        <w:tc>
          <w:tcPr>
            <w:tcBorders>
              <w:top w:val="single" w:color="000000" w:sz="2" w:space="0"/>
              <w:bottom w:val="single" w:color="000000" w:sz="2" w:space="0"/>
            </w:tcBorders>
            <w:tcW w:w="344" w:type="pct"/>
            <w:vAlign w:val="center"/>
            <w:textDirection w:val="lrTb"/>
            <w:noWrap w:val="false"/>
          </w:tcPr>
          <w:p>
            <w:pPr>
              <w:jc w:val="center"/>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bottom w:val="single" w:color="000000" w:sz="2" w:space="0"/>
            </w:tcBorders>
            <w:tcW w:w="309" w:type="pct"/>
            <w:vAlign w:val="center"/>
            <w:textDirection w:val="lrTb"/>
            <w:noWrap w:val="false"/>
          </w:tcPr>
          <w:p>
            <w:pPr>
              <w:jc w:val="center"/>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套</w:t>
            </w:r>
            <w:r/>
          </w:p>
        </w:tc>
        <w:tc>
          <w:tcPr>
            <w:tcBorders>
              <w:top w:val="single" w:color="000000" w:sz="2" w:space="0"/>
              <w:bottom w:val="single" w:color="000000" w:sz="2" w:space="0"/>
            </w:tcBorders>
            <w:tcW w:w="717" w:type="pct"/>
            <w:vAlign w:val="center"/>
            <w:textDirection w:val="lrTb"/>
            <w:noWrap w:val="false"/>
          </w:tcPr>
          <w:p>
            <w:pPr>
              <w:jc w:val="center"/>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主要产品</w:t>
            </w:r>
            <w:r/>
          </w:p>
        </w:tc>
        <w:tc>
          <w:tcPr>
            <w:tcBorders>
              <w:top w:val="single" w:color="000000" w:sz="2" w:space="0"/>
              <w:bottom w:val="single" w:color="000000" w:sz="2" w:space="0"/>
            </w:tcBorders>
            <w:tcW w:w="572" w:type="pct"/>
            <w:vAlign w:val="center"/>
            <w:textDirection w:val="lrTb"/>
            <w:noWrap w:val="false"/>
          </w:tcPr>
          <w:p>
            <w:pPr>
              <w:jc w:val="center"/>
              <w:keepLines w:val="0"/>
              <w:keepNext w:val="0"/>
              <w:pageBreakBefore w:val="0"/>
              <w:spacing w:line="240" w:lineRule="auto"/>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w:t>
            </w:r>
            <w:r/>
          </w:p>
        </w:tc>
        <w:tc>
          <w:tcPr>
            <w:tcBorders>
              <w:top w:val="single" w:color="000000" w:sz="2" w:space="0"/>
              <w:bottom w:val="single" w:color="000000" w:sz="2" w:space="0"/>
            </w:tcBorders>
            <w:tcW w:w="1104" w:type="pct"/>
            <w:vAlign w:val="center"/>
            <w:textDirection w:val="lrTb"/>
            <w:noWrap w:val="false"/>
          </w:tcPr>
          <w:p>
            <w:pPr>
              <w:jc w:val="center"/>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软件和信息技术服务业</w:t>
            </w:r>
            <w:r/>
          </w:p>
        </w:tc>
        <w:tc>
          <w:tcPr>
            <w:tcBorders>
              <w:top w:val="single" w:color="000000" w:sz="2" w:space="0"/>
              <w:bottom w:val="single" w:color="000000" w:sz="2" w:space="0"/>
            </w:tcBorders>
            <w:tcW w:w="505" w:type="pct"/>
            <w:vAlign w:val="center"/>
            <w:textDirection w:val="lrTb"/>
            <w:noWrap w:val="false"/>
          </w:tcPr>
          <w:p>
            <w:pPr>
              <w:jc w:val="center"/>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服务</w:t>
            </w:r>
            <w:r/>
          </w:p>
        </w:tc>
      </w:tr>
    </w:tbl>
    <w:p>
      <w:pPr>
        <w:ind w:firstLine="480"/>
        <w:keepLines w:val="0"/>
        <w:keepNext w:val="0"/>
        <w:pageBreakBefore w:val="0"/>
        <w:spacing w:line="240" w:lineRule="auto"/>
        <w:widowControl w:val="off"/>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keepLines w:val="0"/>
        <w:keepNext w:val="0"/>
        <w:pageBreakBefore w:val="0"/>
        <w:spacing w:line="240" w:lineRule="auto"/>
        <w:widowControl w:val="off"/>
        <w:rPr>
          <w:rFonts w:hint="eastAsia" w:ascii="宋体" w:hAnsi="宋体" w:cs="宋体"/>
          <w:bCs/>
          <w:sz w:val="24"/>
          <w:szCs w:val="24"/>
        </w:rPr>
        <w:outlineLvl w:val="2"/>
      </w:pPr>
      <w:r>
        <w:rPr>
          <w:rFonts w:hint="eastAsia" w:ascii="宋体" w:hAnsi="宋体" w:cs="宋体"/>
          <w:bCs/>
          <w:sz w:val="24"/>
          <w:szCs w:val="24"/>
        </w:rPr>
        <w:t xml:space="preserve">（一）技术要求</w:t>
      </w:r>
      <w:r/>
    </w:p>
    <w:tbl>
      <w:tblPr>
        <w:tblStyle w:val="699"/>
        <w:tblW w:w="99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5"/>
        <w:gridCol w:w="1134"/>
        <w:gridCol w:w="8082"/>
      </w:tblGrid>
      <w:tr>
        <w:trPr>
          <w:trHeight w:val="20"/>
        </w:trPr>
        <w:tc>
          <w:tcPr>
            <w:gridSpan w:val="2"/>
            <w:tcW w:w="704" w:type="dxa"/>
            <w:textDirection w:val="lrTb"/>
            <w:noWrap w:val="false"/>
          </w:tcPr>
          <w:p>
            <w:pPr>
              <w:jc w:val="center"/>
              <w:keepLines w:val="0"/>
              <w:keepNext w:val="0"/>
              <w:pageBreakBefore w:val="0"/>
              <w:spacing w:line="240" w:lineRule="auto"/>
              <w:widowControl w:val="off"/>
              <w:rPr>
                <w:rFonts w:hint="eastAsia" w:ascii="宋体" w:hAnsi="宋体" w:eastAsia="宋体" w:cs="宋体"/>
                <w:b/>
                <w:spacing w:val="-8"/>
                <w:sz w:val="24"/>
                <w:szCs w:val="24"/>
              </w:rPr>
            </w:pPr>
            <w:r>
              <w:rPr>
                <w:rFonts w:hint="eastAsia" w:ascii="宋体" w:hAnsi="宋体" w:eastAsia="宋体" w:cs="宋体"/>
                <w:b/>
                <w:spacing w:val="-8"/>
                <w:sz w:val="24"/>
                <w:szCs w:val="24"/>
              </w:rPr>
              <w:t xml:space="preserve">序号</w:t>
            </w:r>
            <w:r/>
          </w:p>
        </w:tc>
        <w:tc>
          <w:tcPr>
            <w:tcW w:w="1134" w:type="dxa"/>
            <w:textDirection w:val="lrTb"/>
            <w:noWrap w:val="false"/>
          </w:tcPr>
          <w:p>
            <w:pPr>
              <w:jc w:val="center"/>
              <w:keepLines w:val="0"/>
              <w:keepNext w:val="0"/>
              <w:pageBreakBefore w:val="0"/>
              <w:spacing w:line="240" w:lineRule="auto"/>
              <w:widowControl w:val="off"/>
              <w:rPr>
                <w:rFonts w:hint="eastAsia" w:ascii="宋体" w:hAnsi="宋体" w:eastAsia="宋体" w:cs="宋体"/>
                <w:b/>
                <w:spacing w:val="-8"/>
                <w:sz w:val="24"/>
                <w:szCs w:val="24"/>
              </w:rPr>
            </w:pPr>
            <w:r>
              <w:rPr>
                <w:rFonts w:hint="eastAsia" w:ascii="宋体" w:hAnsi="宋体" w:eastAsia="宋体" w:cs="宋体"/>
                <w:b/>
                <w:spacing w:val="-8"/>
                <w:sz w:val="24"/>
                <w:szCs w:val="24"/>
              </w:rPr>
              <w:t xml:space="preserve">模块</w:t>
            </w:r>
            <w:r/>
          </w:p>
        </w:tc>
        <w:tc>
          <w:tcPr>
            <w:tcW w:w="8082" w:type="dxa"/>
            <w:textDirection w:val="lrTb"/>
            <w:noWrap w:val="false"/>
          </w:tcPr>
          <w:p>
            <w:pPr>
              <w:jc w:val="center"/>
              <w:keepLines w:val="0"/>
              <w:keepNext w:val="0"/>
              <w:pageBreakBefore w:val="0"/>
              <w:spacing w:line="240" w:lineRule="auto"/>
              <w:widowControl w:val="off"/>
              <w:rPr>
                <w:rFonts w:hint="eastAsia" w:ascii="宋体" w:hAnsi="宋体" w:eastAsia="宋体" w:cs="宋体"/>
                <w:b/>
                <w:spacing w:val="-8"/>
                <w:sz w:val="24"/>
                <w:szCs w:val="24"/>
              </w:rPr>
            </w:pPr>
            <w:r>
              <w:rPr>
                <w:rFonts w:hint="eastAsia" w:ascii="宋体" w:hAnsi="宋体" w:eastAsia="宋体" w:cs="宋体"/>
                <w:b/>
                <w:spacing w:val="-8"/>
                <w:sz w:val="24"/>
                <w:szCs w:val="24"/>
              </w:rPr>
              <w:t xml:space="preserve">要求说明</w:t>
            </w:r>
            <w:r/>
          </w:p>
        </w:tc>
      </w:tr>
      <w:tr>
        <w:trPr>
          <w:trHeight w:val="20"/>
        </w:trPr>
        <w:tc>
          <w:tcPr>
            <w:gridSpan w:val="2"/>
            <w:tcW w:w="704" w:type="dxa"/>
            <w:textDirection w:val="lrTb"/>
            <w:noWrap w:val="false"/>
          </w:tcPr>
          <w:p>
            <w:pPr>
              <w:keepLines w:val="0"/>
              <w:keepNext w:val="0"/>
              <w:pageBreakBefore w:val="0"/>
              <w:spacing w:line="240" w:lineRule="auto"/>
              <w:widowControl w:val="off"/>
              <w:rPr>
                <w:rFonts w:hint="eastAsia" w:ascii="宋体" w:hAnsi="宋体" w:eastAsia="宋体" w:cs="宋体"/>
                <w:b/>
                <w:spacing w:val="-8"/>
                <w:sz w:val="24"/>
                <w:szCs w:val="24"/>
              </w:rPr>
            </w:pPr>
            <w:r>
              <w:rPr>
                <w:rFonts w:hint="eastAsia" w:ascii="宋体" w:hAnsi="宋体" w:eastAsia="宋体" w:cs="宋体"/>
                <w:b/>
                <w:spacing w:val="-8"/>
                <w:sz w:val="24"/>
                <w:szCs w:val="24"/>
              </w:rPr>
              <w:t xml:space="preserve">一、</w:t>
            </w:r>
            <w:r/>
          </w:p>
        </w:tc>
        <w:tc>
          <w:tcPr>
            <w:tcW w:w="1134" w:type="dxa"/>
            <w:textDirection w:val="lrTb"/>
            <w:noWrap w:val="false"/>
          </w:tcPr>
          <w:p>
            <w:pPr>
              <w:keepLines w:val="0"/>
              <w:keepNext w:val="0"/>
              <w:pageBreakBefore w:val="0"/>
              <w:spacing w:line="240" w:lineRule="auto"/>
              <w:widowControl w:val="off"/>
              <w:rPr>
                <w:rFonts w:hint="eastAsia" w:ascii="宋体" w:hAnsi="宋体" w:eastAsia="宋体" w:cs="宋体"/>
                <w:b/>
                <w:spacing w:val="-8"/>
                <w:sz w:val="24"/>
                <w:szCs w:val="24"/>
              </w:rPr>
            </w:pPr>
            <w:r>
              <w:rPr>
                <w:rFonts w:hint="eastAsia" w:ascii="宋体" w:hAnsi="宋体" w:eastAsia="宋体" w:cs="宋体"/>
                <w:b/>
                <w:spacing w:val="-8"/>
                <w:sz w:val="24"/>
                <w:szCs w:val="24"/>
              </w:rPr>
              <w:t xml:space="preserve">基本要求</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支持大并发：系统能够支持500人并发使用，包含移动端及电脑端，可扩展至1000人以上，并可灵活升级授权，无需重新部署系统；</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2、开发平台：系统应采用成熟稳定的开发技术，支持信创平台部署和标准Web技术。</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3、跨多平台：支持当前业界绝大多数操作系统平台如：Windows、Unix、Linux等；</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4、采用B/S架构：系统采用B/S架构，完全浏览器界面，客户端零安装。以便系统的维护和版本更新只限于在服务器上进行；</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▲5、兼容性：采用的数据存储及访问架构优先支持国产化数据库架构，能在不修改代码的情况下兼容国产化数据库，并能够做到数据无缝迁移。</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6、部署方式：系统支持云端部署（公有云+私有云混合部署）或院内部署，应具备移动端与PC端相同的功能，方便学员和管理人员随时随地进行操作和管理。并针对移动端使用特点进行优化设计，提供简洁、直观的用户界面和便捷的操作流程。部署方式可根据医院要求进行调整。</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7、可扩展性：采用的数据库应</w:t>
            </w:r>
            <w:r>
              <w:rPr>
                <w:rFonts w:hint="eastAsia" w:ascii="宋体" w:hAnsi="宋体" w:cs="宋体"/>
                <w:bCs/>
                <w:sz w:val="24"/>
                <w:szCs w:val="24"/>
                <w:lang w:val="en-US" w:eastAsia="zh-CN"/>
              </w:rPr>
              <w:t xml:space="preserve">满足采购人</w:t>
            </w:r>
            <w:r>
              <w:rPr>
                <w:rFonts w:hint="eastAsia" w:ascii="宋体" w:hAnsi="宋体" w:cs="宋体"/>
                <w:bCs/>
                <w:sz w:val="24"/>
                <w:szCs w:val="24"/>
              </w:rPr>
              <w:t xml:space="preserve">系统当前的需求和将来的发展。技术上要体现实用性、成熟性和先进性。符合国际规范和标准，具有开放性、可靠性、安全性、可互连性、可互操作性和可扩充性，并考虑未来系统的发展与变迁，易于扩展、升级和维护。</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8、跨浏览器:支持跨浏览器访问，需支持Edge、谷歌等主流浏览器，并附真实系统截图；</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9、智互通系统：实现多平台、多系统间的数据管理。通过整合用户管理、消息交互、证书管控及数据处理等核心功能模块，实现一站式、智能化操作，实现业务流程的自动化与智能化升级。</w:t>
            </w:r>
            <w:r/>
          </w:p>
          <w:p>
            <w:pPr>
              <w:keepLines w:val="0"/>
              <w:keepNext w:val="0"/>
              <w:pageBreakBefore w:val="0"/>
              <w:spacing w:line="240" w:lineRule="auto"/>
              <w:widowControl w:val="off"/>
              <w:rPr>
                <w:rFonts w:hint="eastAsia" w:ascii="宋体" w:hAnsi="宋体" w:eastAsia="宋体" w:cs="宋体"/>
                <w:bCs/>
                <w:iCs/>
                <w:sz w:val="24"/>
                <w:szCs w:val="24"/>
              </w:rPr>
            </w:pPr>
            <w:r>
              <w:rPr>
                <w:rFonts w:hint="eastAsia" w:ascii="宋体" w:hAnsi="宋体" w:cs="宋体"/>
                <w:bCs/>
                <w:sz w:val="24"/>
                <w:szCs w:val="24"/>
              </w:rPr>
              <w:t xml:space="preserve">10、用户隐私数据保存和传输需使用国产化加密算法加密传输。</w:t>
            </w:r>
            <w:r/>
          </w:p>
        </w:tc>
      </w:tr>
      <w:tr>
        <w:trPr>
          <w:trHeight w:val="20"/>
        </w:trPr>
        <w:tc>
          <w:tcPr>
            <w:gridSpan w:val="4"/>
            <w:tcW w:w="9920" w:type="dxa"/>
            <w:textDirection w:val="lrTb"/>
            <w:noWrap w:val="false"/>
          </w:tcPr>
          <w:p>
            <w:pPr>
              <w:keepLines w:val="0"/>
              <w:keepNext w:val="0"/>
              <w:pageBreakBefore w:val="0"/>
              <w:spacing w:line="240" w:lineRule="auto"/>
              <w:widowControl w:val="off"/>
              <w:rPr>
                <w:rFonts w:hint="eastAsia" w:ascii="宋体" w:hAnsi="宋体" w:eastAsia="宋体" w:cs="宋体"/>
                <w:b/>
                <w:spacing w:val="-8"/>
                <w:sz w:val="24"/>
                <w:szCs w:val="24"/>
              </w:rPr>
            </w:pPr>
            <w:r>
              <w:rPr>
                <w:rFonts w:hint="eastAsia" w:ascii="宋体" w:hAnsi="宋体" w:eastAsia="宋体" w:cs="宋体"/>
                <w:b/>
                <w:spacing w:val="-8"/>
                <w:sz w:val="24"/>
                <w:szCs w:val="24"/>
              </w:rPr>
              <w:t xml:space="preserve">二、教学管理平台</w:t>
            </w:r>
            <w:r/>
          </w:p>
        </w:tc>
      </w:tr>
      <w:tr>
        <w:trPr>
          <w:trHeight w:val="20"/>
        </w:trPr>
        <w:tc>
          <w:tcPr>
            <w:gridSpan w:val="2"/>
            <w:tcW w:w="704" w:type="dxa"/>
            <w:textDirection w:val="lrTb"/>
            <w:noWrap w:val="false"/>
          </w:tcPr>
          <w:p>
            <w:pPr>
              <w:pStyle w:val="969"/>
              <w:ind w:firstLine="0"/>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1</w:t>
            </w:r>
            <w:r/>
          </w:p>
        </w:tc>
        <w:tc>
          <w:tcPr>
            <w:tcW w:w="1134" w:type="dxa"/>
            <w:textDirection w:val="lrTb"/>
            <w:noWrap w:val="false"/>
          </w:tcPr>
          <w:p>
            <w:pPr>
              <w:pStyle w:val="969"/>
              <w:ind w:firstLine="0"/>
              <w:jc w:val="left"/>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z w:val="24"/>
                <w:szCs w:val="24"/>
              </w:rPr>
              <w:t xml:space="preserve">★基础配置管理</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（1）多角色用户管理：系统支持众多用户角色的设置。</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（2）多种应用模式</w:t>
            </w:r>
            <w:r>
              <w:rPr>
                <w:rFonts w:hint="eastAsia" w:ascii="宋体" w:hAnsi="宋体" w:cs="宋体"/>
                <w:bCs/>
                <w:sz w:val="24"/>
                <w:szCs w:val="24"/>
              </w:rPr>
              <w:tab/>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系统针对不同的用户角色，可提供多种应用模式，包括：电脑端应用及移动端应用。</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支持系统扩展，实现平台单点登录，多个系统无缝切换。</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支持平台内用户多身份切换。</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（3）动态权限分配：系统针对多种用户角色，可灵活为其分配系统的操作权限，保障各项业务功能的有效划分。</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（4）动态流程配置：系统可对工作流程进行灵活配置，包括参与的人员角色、流程的顺序。</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（5）个性化配置：基于系统配置，支持系统搭建和功能调整的所见即所得。管理员可结合自身管理特点和发展需求，实现快速、灵活的系统功能搭建调整。</w:t>
            </w:r>
            <w:r/>
          </w:p>
        </w:tc>
      </w:tr>
      <w:tr>
        <w:trPr>
          <w:trHeight w:val="20"/>
        </w:trPr>
        <w:tc>
          <w:tcPr>
            <w:gridSpan w:val="2"/>
            <w:tcW w:w="704" w:type="dxa"/>
            <w:textDirection w:val="lrTb"/>
            <w:noWrap w:val="false"/>
          </w:tcPr>
          <w:p>
            <w:pPr>
              <w:keepLines w:val="0"/>
              <w:keepNext w:val="0"/>
              <w:pageBreakBefore w:val="0"/>
              <w:spacing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2</w:t>
            </w:r>
            <w:r/>
          </w:p>
        </w:tc>
        <w:tc>
          <w:tcPr>
            <w:tcW w:w="1134"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统计分析</w:t>
            </w:r>
            <w:r/>
          </w:p>
        </w:tc>
        <w:tc>
          <w:tcPr>
            <w:tcW w:w="8082" w:type="dxa"/>
            <w:vAlign w:val="center"/>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▲统计报表包含：教学活动报表、考核报表、考勤报表、评价报表。上线后应能根据科室要求调整。</w:t>
            </w:r>
            <w:r/>
          </w:p>
        </w:tc>
      </w:tr>
      <w:tr>
        <w:trPr>
          <w:trHeight w:val="20"/>
        </w:trPr>
        <w:tc>
          <w:tcPr>
            <w:gridSpan w:val="2"/>
            <w:tcW w:w="704" w:type="dxa"/>
            <w:textDirection w:val="lrTb"/>
            <w:noWrap w:val="false"/>
          </w:tcPr>
          <w:p>
            <w:pPr>
              <w:keepLines w:val="0"/>
              <w:keepNext w:val="0"/>
              <w:pageBreakBefore w:val="0"/>
              <w:spacing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3</w:t>
            </w:r>
            <w:r/>
          </w:p>
        </w:tc>
        <w:tc>
          <w:tcPr>
            <w:tcW w:w="1134" w:type="dxa"/>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工作通知提醒</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（1）待处理工作提醒</w:t>
            </w:r>
            <w:r>
              <w:rPr>
                <w:rFonts w:hint="eastAsia" w:ascii="宋体" w:hAnsi="宋体" w:cs="宋体"/>
                <w:bCs/>
                <w:sz w:val="24"/>
                <w:szCs w:val="24"/>
                <w:lang w:eastAsia="zh-CN"/>
              </w:rPr>
              <w:t xml:space="preserve">，</w:t>
            </w:r>
            <w:r>
              <w:rPr>
                <w:rFonts w:hint="eastAsia" w:ascii="宋体" w:hAnsi="宋体" w:cs="宋体"/>
                <w:bCs/>
                <w:sz w:val="24"/>
                <w:szCs w:val="24"/>
              </w:rPr>
              <w:t xml:space="preserve">系统可自动结合不同角色用户的工作内容，定时、定向进行待办工作提醒。</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（2）发送通知公告</w:t>
            </w:r>
            <w:r>
              <w:rPr>
                <w:rFonts w:hint="eastAsia" w:ascii="宋体" w:hAnsi="宋体" w:cs="宋体"/>
                <w:bCs/>
                <w:sz w:val="24"/>
                <w:szCs w:val="24"/>
                <w:lang w:eastAsia="zh-CN"/>
              </w:rPr>
              <w:t xml:space="preserve">，</w:t>
            </w:r>
            <w:r>
              <w:rPr>
                <w:rFonts w:hint="eastAsia" w:ascii="宋体" w:hAnsi="宋体" w:cs="宋体"/>
                <w:bCs/>
                <w:sz w:val="24"/>
                <w:szCs w:val="24"/>
              </w:rPr>
              <w:t xml:space="preserve">管理员可选择接收对象发送通知公告，可选择通知对象通过PC端接收通知或微信端接收通知公告。</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（3）移动端功能</w:t>
            </w:r>
            <w:r>
              <w:rPr>
                <w:rFonts w:hint="eastAsia" w:ascii="宋体" w:hAnsi="宋体" w:cs="宋体"/>
                <w:bCs/>
                <w:sz w:val="24"/>
                <w:szCs w:val="24"/>
                <w:lang w:eastAsia="zh-CN"/>
              </w:rPr>
              <w:t xml:space="preserve">，</w:t>
            </w:r>
            <w:r>
              <w:rPr>
                <w:rFonts w:hint="eastAsia" w:ascii="宋体" w:hAnsi="宋体" w:cs="宋体"/>
                <w:bCs/>
                <w:sz w:val="24"/>
                <w:szCs w:val="24"/>
              </w:rPr>
              <w:t xml:space="preserve">可在移动端（微信公众号）接收通知公告，个人待办工作提醒。</w:t>
            </w:r>
            <w:r/>
          </w:p>
        </w:tc>
      </w:tr>
      <w:tr>
        <w:trPr>
          <w:trHeight w:val="20"/>
        </w:trPr>
        <w:tc>
          <w:tcPr>
            <w:gridSpan w:val="2"/>
            <w:tcW w:w="704" w:type="dxa"/>
            <w:textDirection w:val="lrTb"/>
            <w:noWrap w:val="false"/>
          </w:tcPr>
          <w:p>
            <w:pPr>
              <w:keepLines w:val="0"/>
              <w:keepNext w:val="0"/>
              <w:pageBreakBefore w:val="0"/>
              <w:spacing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4</w:t>
            </w:r>
            <w:r/>
          </w:p>
        </w:tc>
        <w:tc>
          <w:tcPr>
            <w:tcW w:w="1134" w:type="dxa"/>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★移动端管理</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（1）轮转计划查询</w:t>
            </w:r>
            <w:r>
              <w:rPr>
                <w:rFonts w:hint="eastAsia" w:ascii="宋体" w:hAnsi="宋体" w:cs="宋体"/>
                <w:bCs/>
                <w:sz w:val="24"/>
                <w:szCs w:val="24"/>
                <w:lang w:eastAsia="zh-CN"/>
              </w:rPr>
              <w:t xml:space="preserve">，</w:t>
            </w:r>
            <w:r>
              <w:rPr>
                <w:rFonts w:hint="eastAsia" w:ascii="宋体" w:hAnsi="宋体" w:cs="宋体"/>
                <w:bCs/>
                <w:sz w:val="24"/>
                <w:szCs w:val="24"/>
              </w:rPr>
              <w:t xml:space="preserve">住院医师可在手机端查询自己的轮转计划。</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（2）入科管理</w:t>
            </w:r>
            <w:r>
              <w:rPr>
                <w:rFonts w:hint="eastAsia" w:ascii="宋体" w:hAnsi="宋体" w:cs="宋体"/>
                <w:bCs/>
                <w:sz w:val="24"/>
                <w:szCs w:val="24"/>
                <w:lang w:eastAsia="zh-CN"/>
              </w:rPr>
              <w:t xml:space="preserve">，</w:t>
            </w:r>
            <w:r>
              <w:rPr>
                <w:rFonts w:hint="eastAsia" w:ascii="宋体" w:hAnsi="宋体" w:cs="宋体"/>
                <w:bCs/>
                <w:sz w:val="24"/>
                <w:szCs w:val="24"/>
              </w:rPr>
              <w:t xml:space="preserve">教学秘书可在手机端为待入科住院医师分配带教老师。</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（3）入科教育</w:t>
            </w:r>
            <w:r>
              <w:rPr>
                <w:rFonts w:hint="eastAsia" w:ascii="宋体" w:hAnsi="宋体" w:cs="宋体"/>
                <w:bCs/>
                <w:sz w:val="24"/>
                <w:szCs w:val="24"/>
                <w:lang w:eastAsia="zh-CN"/>
              </w:rPr>
              <w:t xml:space="preserve">，</w:t>
            </w:r>
            <w:r>
              <w:rPr>
                <w:rFonts w:hint="eastAsia" w:ascii="宋体" w:hAnsi="宋体" w:cs="宋体"/>
                <w:bCs/>
                <w:sz w:val="24"/>
                <w:szCs w:val="24"/>
              </w:rPr>
              <w:t xml:space="preserve">教学秘书可发起入科教育培训，系统自动匹配新入科的住院医师名单，教学秘书可为需要参加培训的住院医师签到。</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（4）出科管理</w:t>
            </w:r>
            <w:r>
              <w:rPr>
                <w:rFonts w:hint="eastAsia" w:ascii="宋体" w:hAnsi="宋体" w:cs="宋体"/>
                <w:bCs/>
                <w:sz w:val="24"/>
                <w:szCs w:val="24"/>
                <w:lang w:eastAsia="zh-CN"/>
              </w:rPr>
              <w:t xml:space="preserve">，</w:t>
            </w:r>
            <w:r>
              <w:rPr>
                <w:rFonts w:hint="eastAsia" w:ascii="宋体" w:hAnsi="宋体" w:cs="宋体"/>
                <w:bCs/>
                <w:sz w:val="24"/>
                <w:szCs w:val="24"/>
              </w:rPr>
              <w:t xml:space="preserve">教学秘书可在手机端查看待出科住院医师的出科报告，进行出科操作。</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（5）考核评分</w:t>
            </w:r>
            <w:r>
              <w:rPr>
                <w:rFonts w:hint="eastAsia" w:ascii="宋体" w:hAnsi="宋体" w:cs="宋体"/>
                <w:bCs/>
                <w:sz w:val="24"/>
                <w:szCs w:val="24"/>
                <w:lang w:eastAsia="zh-CN"/>
              </w:rPr>
              <w:t xml:space="preserve">，</w:t>
            </w:r>
            <w:r>
              <w:rPr>
                <w:rFonts w:hint="eastAsia" w:ascii="宋体" w:hAnsi="宋体" w:cs="宋体"/>
                <w:bCs/>
                <w:sz w:val="24"/>
                <w:szCs w:val="24"/>
              </w:rPr>
              <w:t xml:space="preserve">可在手机端填写考核打分表，完成各类考核打分。可通过手机上传考核现场照片。</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（6）评价</w:t>
            </w:r>
            <w:r>
              <w:rPr>
                <w:rFonts w:hint="eastAsia" w:ascii="宋体" w:hAnsi="宋体" w:cs="宋体"/>
                <w:bCs/>
                <w:sz w:val="24"/>
                <w:szCs w:val="24"/>
                <w:lang w:eastAsia="zh-CN"/>
              </w:rPr>
              <w:t xml:space="preserve">，</w:t>
            </w:r>
            <w:r>
              <w:rPr>
                <w:rFonts w:hint="eastAsia" w:ascii="宋体" w:hAnsi="宋体" w:cs="宋体"/>
                <w:bCs/>
                <w:sz w:val="24"/>
                <w:szCs w:val="24"/>
              </w:rPr>
              <w:t xml:space="preserve">各相关角色可在手机端填写评价表，完成评价。住院医师和带教老师在移动端随时可以按半年、一年、全部的方式查看被评价结果，了解个人在本院、本基地或本科室的评价排名。</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（7）教学活动</w:t>
            </w:r>
            <w:r>
              <w:rPr>
                <w:rFonts w:hint="eastAsia" w:ascii="宋体" w:hAnsi="宋体" w:cs="宋体"/>
                <w:bCs/>
                <w:sz w:val="24"/>
                <w:szCs w:val="24"/>
                <w:lang w:eastAsia="zh-CN"/>
              </w:rPr>
              <w:t xml:space="preserve">，</w:t>
            </w:r>
            <w:r>
              <w:rPr>
                <w:rFonts w:hint="eastAsia" w:ascii="宋体" w:hAnsi="宋体" w:cs="宋体"/>
                <w:bCs/>
                <w:sz w:val="24"/>
                <w:szCs w:val="24"/>
              </w:rPr>
              <w:t xml:space="preserve">讲师和住院医师可在手机端查看教学活动课表。通过扫描二维码记录签到。讲师可在手机端上传课件（PPT、文档），现场照片。</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（8）消息通知</w:t>
            </w:r>
            <w:r>
              <w:rPr>
                <w:rFonts w:hint="eastAsia" w:ascii="宋体" w:hAnsi="宋体" w:cs="宋体"/>
                <w:bCs/>
                <w:sz w:val="24"/>
                <w:szCs w:val="24"/>
                <w:lang w:eastAsia="zh-CN"/>
              </w:rPr>
              <w:t xml:space="preserve">，</w:t>
            </w:r>
            <w:r>
              <w:rPr>
                <w:rFonts w:hint="eastAsia" w:ascii="宋体" w:hAnsi="宋体" w:cs="宋体"/>
                <w:bCs/>
                <w:sz w:val="24"/>
                <w:szCs w:val="24"/>
              </w:rPr>
              <w:t xml:space="preserve">各角色可在手机端接收待办事项通知及通知公告。</w:t>
            </w:r>
            <w:r/>
          </w:p>
        </w:tc>
      </w:tr>
      <w:tr>
        <w:trPr>
          <w:trHeight w:val="20"/>
        </w:trPr>
        <w:tc>
          <w:tcPr>
            <w:gridSpan w:val="2"/>
            <w:tcW w:w="704" w:type="dxa"/>
            <w:textDirection w:val="lrTb"/>
            <w:noWrap w:val="false"/>
          </w:tcPr>
          <w:p>
            <w:pPr>
              <w:keepLines w:val="0"/>
              <w:keepNext w:val="0"/>
              <w:pageBreakBefore w:val="0"/>
              <w:spacing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5</w:t>
            </w:r>
            <w:r/>
          </w:p>
        </w:tc>
        <w:tc>
          <w:tcPr>
            <w:tcW w:w="1134" w:type="dxa"/>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考核管理</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系统将用户的各类考核表单电子化录入系统，供考核打分使用。支持导出打印考核表。</w:t>
            </w:r>
            <w:r/>
          </w:p>
        </w:tc>
      </w:tr>
      <w:tr>
        <w:trPr>
          <w:trHeight w:val="20"/>
        </w:trPr>
        <w:tc>
          <w:tcPr>
            <w:gridSpan w:val="2"/>
            <w:tcW w:w="704" w:type="dxa"/>
            <w:textDirection w:val="lrTb"/>
            <w:noWrap w:val="false"/>
          </w:tcPr>
          <w:p>
            <w:pP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tcW w:w="1134" w:type="dxa"/>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人员档案</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（1）系统可建人员档案。</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（2）档案标签包括基本信息、担任角色、带教经历、历史评价、教学活动记录。</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（3）担任角色、带教经历、历史评价、教学活动记录等标签内容由系统的角色管理、入科分配、评价管理、教学活动管理等模块数据生成，相关信息自动汇总到档案中的对应标签。</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（4）担任角色标签中可调整任职开始结束时间。</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（5）档案中可记录师资人员参加过的各级师资培训，可上传培训证明。</w:t>
            </w:r>
            <w:r/>
          </w:p>
        </w:tc>
      </w:tr>
      <w:tr>
        <w:trPr>
          <w:trHeight w:val="20"/>
        </w:trPr>
        <w:tc>
          <w:tcPr>
            <w:gridSpan w:val="2"/>
            <w:tcW w:w="704" w:type="dxa"/>
            <w:textDirection w:val="lrTb"/>
            <w:noWrap w:val="false"/>
          </w:tcPr>
          <w:p>
            <w:pP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1134" w:type="dxa"/>
            <w:textDirection w:val="lrTb"/>
            <w:noWrap w:val="false"/>
          </w:tcPr>
          <w:p>
            <w:pPr>
              <w:jc w:val="left"/>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★教学活动管理</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（1）教学活动目标设置：教学管理员可设置院级教学活动的目标次数、各个基地的基地级教学活动开展次数、各个科室的科室级教学活动开展次数。</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（2）发布教学课程</w:t>
            </w:r>
            <w:r>
              <w:rPr>
                <w:rFonts w:hint="eastAsia" w:ascii="宋体" w:hAnsi="宋体" w:cs="宋体"/>
                <w:bCs/>
                <w:sz w:val="24"/>
                <w:szCs w:val="24"/>
              </w:rPr>
              <w:tab/>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教学管理员、教学秘书、讲师创建教学活动，系统提供预设的教学活动级别、类型、发起部门供选择（支持一堂教学活动选择多个科室或基地），可填写培训日期、开始结束时间、主讲人（可在系统师资列表中查询选择）、培训地点、学时、课程内容。新增的教学活动可以暂存，确认无误后再提交发布，若内容有误可在提交前重新编辑或删除。</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可根据选择的发起部门匹配教学活动参加人员（科室级教学活动匹配当前在科室轮转的学员、基地级教学活动可根据名单设置规则，自动匹配专业基地下的所有学员，或轮转到专业基地下的学员，或专业基地及轮转到专业基地下的全部学员、院级教学活动匹配院内所有在培学员）；也可指定参加人员，根据人员身份和年级进行选择。</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可将教学活动设置为抢课参加的方式。可设置报名人数，报名开始和结束时间。</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支持通过EXCEL批量导入教学活动计划。</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支持批量导出教学活动报告书。包含课程基本信息、名单信息及人员签到情况。</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（3）课程提醒推送：系统根据课程表，向对应的讲师、教秘及听课住院医师发送课程提醒。</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（4）课前资料准备：讲师可通过系统上传课件资料，住院医师可查看课件。</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（5）课程签到</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教学管理员/讲师/教秘可在自己的电脑端或手机端展示签到二维码，参加课程的住院医师可使用移动端扫码进行签到。</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二维码可设置为静态二维码或动态二维码，可灵活设置有效的签到时间范围。</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教学管理员/教秘/讲师可对课程的参加人员进行手动签到。</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管理人员可查看签到记录。</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（6）课程签退：课程发布时可设置本节课程是否需要签退。</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教学管理员/讲师/教秘可在自己的电脑端或手机端展示签退二维码，参加课程的住院医师可使用移动端扫码进行签退。二维码可设置为静态二维码或动态二维码，可灵活设置有效的签退时间范围。</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教学管理员/教秘/讲师可对课程的参加人员进行手动签退。</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管理人员可查看签退记录。</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（7）课程评价管理</w:t>
            </w:r>
            <w:r>
              <w:rPr>
                <w:rFonts w:hint="eastAsia" w:ascii="宋体" w:hAnsi="宋体" w:cs="宋体"/>
                <w:bCs/>
                <w:sz w:val="24"/>
                <w:szCs w:val="24"/>
              </w:rPr>
              <w:tab/>
            </w:r>
            <w:r>
              <w:rPr>
                <w:rFonts w:hint="eastAsia" w:ascii="宋体" w:hAnsi="宋体" w:cs="宋体"/>
                <w:bCs/>
                <w:sz w:val="24"/>
                <w:szCs w:val="24"/>
              </w:rPr>
              <w:t xml:space="preserve">住院医师可通过系统填写课程评价表，评价课程教学质量。</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（8）课程请假</w:t>
            </w:r>
            <w:r>
              <w:rPr>
                <w:rFonts w:hint="eastAsia" w:ascii="宋体" w:hAnsi="宋体" w:cs="宋体"/>
                <w:bCs/>
                <w:sz w:val="24"/>
                <w:szCs w:val="24"/>
              </w:rPr>
              <w:tab/>
            </w:r>
            <w:r>
              <w:rPr>
                <w:rFonts w:hint="eastAsia" w:ascii="宋体" w:hAnsi="宋体" w:cs="宋体"/>
                <w:bCs/>
                <w:sz w:val="24"/>
                <w:szCs w:val="24"/>
              </w:rPr>
              <w:t xml:space="preserve">住院医师如有特殊情况不能参与教学活动时，可发起课程请假，需填写请假原因，由其科室教秘进行审批。</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（9）课程实施</w:t>
            </w:r>
            <w:r>
              <w:rPr>
                <w:rFonts w:hint="eastAsia" w:ascii="宋体" w:hAnsi="宋体" w:cs="宋体"/>
                <w:bCs/>
                <w:sz w:val="24"/>
                <w:szCs w:val="24"/>
              </w:rPr>
              <w:tab/>
            </w:r>
            <w:r>
              <w:rPr>
                <w:rFonts w:hint="eastAsia" w:ascii="宋体" w:hAnsi="宋体" w:cs="宋体"/>
                <w:bCs/>
                <w:sz w:val="24"/>
                <w:szCs w:val="24"/>
              </w:rPr>
              <w:t xml:space="preserve">系统可设置，由签到/授课照片/课件/课程记录组合的实施条件，课程满足设置的条件时，即为课程实施。</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（10）课程审核：系统可支持不同级别的活动，由不同的角色人员进行审核。</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（11）移动端功能：可在移动端实现扫描二维码进行上课签到</w:t>
            </w:r>
            <w:r>
              <w:rPr>
                <w:rFonts w:hint="eastAsia" w:ascii="宋体" w:hAnsi="宋体" w:cs="宋体"/>
                <w:bCs/>
                <w:sz w:val="24"/>
                <w:szCs w:val="24"/>
                <w:lang w:eastAsia="zh-CN"/>
              </w:rPr>
              <w:t xml:space="preserve">，</w:t>
            </w:r>
            <w:r>
              <w:rPr>
                <w:rFonts w:hint="eastAsia" w:ascii="宋体" w:hAnsi="宋体" w:cs="宋体"/>
                <w:bCs/>
                <w:sz w:val="24"/>
                <w:szCs w:val="24"/>
              </w:rPr>
              <w:t xml:space="preserve">填写课程评价表。</w:t>
            </w:r>
            <w:r/>
          </w:p>
        </w:tc>
      </w:tr>
      <w:tr>
        <w:trPr>
          <w:trHeight w:val="20"/>
        </w:trPr>
        <w:tc>
          <w:tcPr>
            <w:gridSpan w:val="4"/>
            <w:tcW w:w="9920" w:type="dxa"/>
            <w:textDirection w:val="lrTb"/>
            <w:noWrap w:val="false"/>
          </w:tcPr>
          <w:p>
            <w:pPr>
              <w:pStyle w:val="970"/>
              <w:ind w:left="0" w:firstLine="0"/>
              <w:keepLines w:val="0"/>
              <w:keepNext w:val="0"/>
              <w:pageBreakBefore w:val="0"/>
              <w:spacing w:line="240" w:lineRule="auto"/>
              <w:widowControl w:val="off"/>
              <w:rPr>
                <w:rFonts w:hint="eastAsia" w:ascii="宋体" w:hAnsi="宋体" w:eastAsia="宋体" w:cs="宋体"/>
                <w:bCs/>
                <w:spacing w:val="-8"/>
                <w:sz w:val="24"/>
                <w:szCs w:val="24"/>
              </w:rPr>
            </w:pPr>
            <w:r>
              <w:rPr>
                <w:rFonts w:hint="eastAsia" w:ascii="宋体" w:hAnsi="宋体" w:eastAsia="宋体" w:cs="宋体"/>
                <w:b/>
                <w:bCs w:val="0"/>
                <w:spacing w:val="-8"/>
                <w:sz w:val="24"/>
                <w:szCs w:val="24"/>
              </w:rPr>
              <w:t xml:space="preserve">三、本科生管理系统</w:t>
            </w:r>
            <w:r/>
          </w:p>
        </w:tc>
      </w:tr>
      <w:tr>
        <w:trPr>
          <w:trHeight w:val="20"/>
        </w:trPr>
        <w:tc>
          <w:tcPr>
            <w:gridSpan w:val="2"/>
            <w:tcW w:w="704" w:type="dxa"/>
            <w:textDirection w:val="lrTb"/>
            <w:noWrap w:val="false"/>
          </w:tcPr>
          <w:p>
            <w:pPr>
              <w:pStyle w:val="969"/>
              <w:ind w:firstLine="0"/>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1</w:t>
            </w:r>
            <w:r/>
          </w:p>
        </w:tc>
        <w:tc>
          <w:tcPr>
            <w:tcW w:w="1134" w:type="dxa"/>
            <w:textDirection w:val="lrTb"/>
            <w:noWrap w:val="false"/>
          </w:tcPr>
          <w:p>
            <w:pPr>
              <w:pStyle w:val="969"/>
              <w:ind w:firstLine="0"/>
              <w:jc w:val="left"/>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z w:val="24"/>
                <w:szCs w:val="24"/>
              </w:rPr>
              <w:t xml:space="preserve">★轮转计划管理</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（1）轮转计划模板</w:t>
            </w:r>
            <w:r>
              <w:rPr>
                <w:rFonts w:hint="eastAsia" w:ascii="宋体" w:hAnsi="宋体" w:cs="宋体"/>
                <w:bCs/>
                <w:sz w:val="24"/>
                <w:szCs w:val="24"/>
                <w:lang w:eastAsia="zh-CN"/>
              </w:rPr>
              <w:t xml:space="preserve">：</w:t>
            </w:r>
            <w:r>
              <w:rPr>
                <w:rFonts w:hint="eastAsia" w:ascii="宋体" w:hAnsi="宋体" w:cs="宋体"/>
                <w:bCs/>
                <w:sz w:val="24"/>
                <w:szCs w:val="24"/>
              </w:rPr>
              <w:t xml:space="preserve">系统可按照本科生实习培训要求，建立轮转计划模板。可按周进行轮转安排。</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（2）编制轮转计划：可导入本科生名单、科室名单，利用轮转模板实现轮转计划编制，排班结果达到科室容量平衡。</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（3）轮转计划查看：可以为管理员、本科生提供轮转计划查询。查询方式有：按姓名生查询、按科室查询。</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（4）轮转计划调整</w:t>
            </w:r>
            <w:r>
              <w:rPr>
                <w:rFonts w:hint="eastAsia" w:ascii="宋体" w:hAnsi="宋体" w:cs="宋体"/>
                <w:bCs/>
                <w:sz w:val="24"/>
                <w:szCs w:val="24"/>
              </w:rPr>
              <w:tab/>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可通过拖拽科室的方式迅速调整轮转计划，也可以点击右键选择拆分合并。</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在同一页面中，可同步查看轮转人员变换信息。</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系统可用不同的颜色区分轮转的状态。</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轮转计划调整均由系统日志自动记录。</w:t>
            </w:r>
            <w:r/>
          </w:p>
        </w:tc>
      </w:tr>
      <w:tr>
        <w:trPr>
          <w:trHeight w:val="20"/>
        </w:trPr>
        <w:tc>
          <w:tcPr>
            <w:gridSpan w:val="2"/>
            <w:tcW w:w="704" w:type="dxa"/>
            <w:textDirection w:val="lrTb"/>
            <w:noWrap w:val="false"/>
          </w:tcPr>
          <w:p>
            <w:pPr>
              <w:pStyle w:val="969"/>
              <w:ind w:firstLine="0"/>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2</w:t>
            </w:r>
            <w:r/>
          </w:p>
        </w:tc>
        <w:tc>
          <w:tcPr>
            <w:tcW w:w="1134" w:type="dxa"/>
            <w:textDirection w:val="lrTb"/>
            <w:noWrap w:val="false"/>
          </w:tcPr>
          <w:p>
            <w:pPr>
              <w:pStyle w:val="969"/>
              <w:ind w:firstLine="0"/>
              <w:jc w:val="left"/>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z w:val="24"/>
                <w:szCs w:val="24"/>
              </w:rPr>
              <w:t xml:space="preserve">档案管理</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（1）建立本科生档案</w:t>
            </w:r>
            <w:r>
              <w:rPr>
                <w:rFonts w:hint="eastAsia" w:ascii="宋体" w:hAnsi="宋体" w:cs="宋体"/>
                <w:bCs/>
                <w:sz w:val="24"/>
                <w:szCs w:val="24"/>
                <w:lang w:eastAsia="zh-CN"/>
              </w:rPr>
              <w:t xml:space="preserve">，</w:t>
            </w:r>
            <w:r>
              <w:rPr>
                <w:rFonts w:hint="eastAsia" w:ascii="宋体" w:hAnsi="宋体" w:cs="宋体"/>
                <w:bCs/>
                <w:sz w:val="24"/>
                <w:szCs w:val="24"/>
              </w:rPr>
              <w:t xml:space="preserve">系统可建立本科生培训电子档案，全面记录本科生的个人信息。</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（2）本科生档案查询</w:t>
            </w:r>
            <w:r>
              <w:rPr>
                <w:rFonts w:hint="eastAsia" w:ascii="宋体" w:hAnsi="宋体" w:cs="宋体"/>
                <w:bCs/>
                <w:sz w:val="24"/>
                <w:szCs w:val="24"/>
              </w:rPr>
              <w:tab/>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向多个管理角色开放档案的查询。</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可根据姓名、工号、学员类型、年级、学制、专业、培训状态筛选需要查询的学员。也可以选择档案基本信息的自定义查询。</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可从所有档案信息中勾选需要的信息导出学员档案。</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可批量粘贴账号查询。</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（3）建立师资档案</w:t>
            </w:r>
            <w:r>
              <w:rPr>
                <w:rFonts w:hint="eastAsia" w:ascii="宋体" w:hAnsi="宋体" w:cs="宋体"/>
                <w:bCs/>
                <w:sz w:val="24"/>
                <w:szCs w:val="24"/>
                <w:lang w:eastAsia="zh-CN"/>
              </w:rPr>
              <w:t xml:space="preserve">，</w:t>
            </w:r>
            <w:r>
              <w:rPr>
                <w:rFonts w:hint="eastAsia" w:ascii="宋体" w:hAnsi="宋体" w:cs="宋体"/>
                <w:bCs/>
                <w:sz w:val="24"/>
                <w:szCs w:val="24"/>
              </w:rPr>
              <w:t xml:space="preserve">系统可建立本科生独立师资档案，记录个人信息、教学资质等信息。</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（4）师资档案查询</w:t>
            </w:r>
            <w:r>
              <w:rPr>
                <w:rFonts w:hint="eastAsia" w:ascii="宋体" w:hAnsi="宋体" w:cs="宋体"/>
                <w:bCs/>
                <w:sz w:val="24"/>
                <w:szCs w:val="24"/>
                <w:lang w:eastAsia="zh-CN"/>
              </w:rPr>
              <w:t xml:space="preserve">，</w:t>
            </w:r>
            <w:r>
              <w:rPr>
                <w:rFonts w:hint="eastAsia" w:ascii="宋体" w:hAnsi="宋体" w:cs="宋体"/>
                <w:bCs/>
                <w:sz w:val="24"/>
                <w:szCs w:val="24"/>
              </w:rPr>
              <w:t xml:space="preserve">向教师个人、管理员等角色开放师资档案查询。</w:t>
            </w:r>
            <w:r/>
          </w:p>
        </w:tc>
      </w:tr>
      <w:tr>
        <w:trPr>
          <w:trHeight w:val="20"/>
        </w:trPr>
        <w:tc>
          <w:tcPr>
            <w:gridSpan w:val="2"/>
            <w:tcW w:w="704" w:type="dxa"/>
            <w:textDirection w:val="lrTb"/>
            <w:noWrap w:val="false"/>
          </w:tcPr>
          <w:p>
            <w:pPr>
              <w:pStyle w:val="969"/>
              <w:ind w:firstLine="0"/>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3</w:t>
            </w:r>
            <w:r/>
          </w:p>
        </w:tc>
        <w:tc>
          <w:tcPr>
            <w:tcW w:w="1134" w:type="dxa"/>
            <w:textDirection w:val="lrTb"/>
            <w:noWrap w:val="false"/>
          </w:tcPr>
          <w:p>
            <w:pPr>
              <w:pStyle w:val="969"/>
              <w:ind w:firstLine="0"/>
              <w:jc w:val="left"/>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z w:val="24"/>
                <w:szCs w:val="24"/>
              </w:rPr>
              <w:t xml:space="preserve">日常工作统计</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（1）入科报表</w:t>
            </w:r>
            <w:r>
              <w:rPr>
                <w:rFonts w:hint="eastAsia" w:ascii="宋体" w:hAnsi="宋体" w:cs="宋体"/>
                <w:bCs/>
                <w:sz w:val="24"/>
                <w:szCs w:val="24"/>
                <w:lang w:eastAsia="zh-CN"/>
              </w:rPr>
              <w:t xml:space="preserve">，</w:t>
            </w:r>
            <w:r>
              <w:rPr>
                <w:rFonts w:hint="eastAsia" w:ascii="宋体" w:hAnsi="宋体" w:cs="宋体"/>
                <w:bCs/>
                <w:sz w:val="24"/>
                <w:szCs w:val="24"/>
              </w:rPr>
              <w:t xml:space="preserve">统计各个科室入科情况。可按月份查看各科室应入科人数、已入科人数、入科完成度、到科确认。</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（2）分配带教报表</w:t>
            </w:r>
            <w:r>
              <w:rPr>
                <w:rFonts w:hint="eastAsia" w:ascii="宋体" w:hAnsi="宋体" w:cs="宋体"/>
                <w:bCs/>
                <w:sz w:val="24"/>
                <w:szCs w:val="24"/>
                <w:lang w:eastAsia="zh-CN"/>
              </w:rPr>
              <w:t xml:space="preserve">，</w:t>
            </w:r>
            <w:r>
              <w:rPr>
                <w:rFonts w:hint="eastAsia" w:ascii="宋体" w:hAnsi="宋体" w:cs="宋体"/>
                <w:bCs/>
                <w:sz w:val="24"/>
                <w:szCs w:val="24"/>
              </w:rPr>
              <w:t xml:space="preserve">可统计各科室的在科人数、已分配带教的本科生人数、未分配带教的本科生人数、已带教的老师数、未带教的老师数、带教分配明细。</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可统计带教老师的月度、年度带教工作量统计。</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（3）出科报表</w:t>
            </w:r>
            <w:r>
              <w:rPr>
                <w:rFonts w:hint="eastAsia" w:ascii="宋体" w:hAnsi="宋体" w:cs="宋体"/>
                <w:bCs/>
                <w:sz w:val="24"/>
                <w:szCs w:val="24"/>
                <w:lang w:eastAsia="zh-CN"/>
              </w:rPr>
              <w:t xml:space="preserve">，</w:t>
            </w:r>
            <w:r>
              <w:rPr>
                <w:rFonts w:hint="eastAsia" w:ascii="宋体" w:hAnsi="宋体" w:cs="宋体"/>
                <w:bCs/>
                <w:sz w:val="24"/>
                <w:szCs w:val="24"/>
              </w:rPr>
              <w:t xml:space="preserve">统计各个科室出科情况。可查看各科室应出科人数、已出科人数、出科完成度、超期人数。</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（4）出科考核报表</w:t>
            </w:r>
            <w:r>
              <w:rPr>
                <w:rFonts w:hint="eastAsia" w:ascii="宋体" w:hAnsi="宋体" w:cs="宋体"/>
                <w:bCs/>
                <w:sz w:val="24"/>
                <w:szCs w:val="24"/>
                <w:lang w:eastAsia="zh-CN"/>
              </w:rPr>
              <w:t xml:space="preserve">，</w:t>
            </w:r>
            <w:r>
              <w:rPr>
                <w:rFonts w:hint="eastAsia" w:ascii="宋体" w:hAnsi="宋体" w:cs="宋体"/>
                <w:bCs/>
                <w:sz w:val="24"/>
                <w:szCs w:val="24"/>
              </w:rPr>
              <w:t xml:space="preserve">统计各个专业基地和各个科室每个月的应考核人数、已完成人数、未完成人数、考核完成进度。汇总所有本科生出科考核中各项考核项目的成绩。</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（5）教学活动报表</w:t>
            </w:r>
            <w:r>
              <w:rPr>
                <w:rFonts w:hint="eastAsia" w:ascii="宋体" w:hAnsi="宋体" w:cs="宋体"/>
                <w:bCs/>
                <w:sz w:val="24"/>
                <w:szCs w:val="24"/>
              </w:rPr>
              <w:tab/>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按时间段统计所有教学活动的应参加人数、签到人数、未签到人数，并可查看详细名单。</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按时间段统计所有讲师完成的各类教学活动的数量。</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按时间段统计各个科室完成各各类教学活动的数量。</w:t>
            </w:r>
            <w:r/>
          </w:p>
        </w:tc>
      </w:tr>
      <w:tr>
        <w:trPr>
          <w:trHeight w:val="20"/>
        </w:trPr>
        <w:tc>
          <w:tcPr>
            <w:gridSpan w:val="2"/>
            <w:tcW w:w="704" w:type="dxa"/>
            <w:textDirection w:val="lrTb"/>
            <w:noWrap w:val="false"/>
          </w:tcPr>
          <w:p>
            <w:pPr>
              <w:pStyle w:val="969"/>
              <w:ind w:firstLine="0"/>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4</w:t>
            </w:r>
            <w:r/>
          </w:p>
        </w:tc>
        <w:tc>
          <w:tcPr>
            <w:tcW w:w="1134" w:type="dxa"/>
            <w:textDirection w:val="lrTb"/>
            <w:noWrap w:val="false"/>
          </w:tcPr>
          <w:p>
            <w:pPr>
              <w:pStyle w:val="969"/>
              <w:ind w:firstLine="0"/>
              <w:jc w:val="left"/>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z w:val="24"/>
                <w:szCs w:val="24"/>
              </w:rPr>
              <w:t xml:space="preserve">班级管理</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（1）创建班级</w:t>
            </w:r>
            <w:r>
              <w:rPr>
                <w:rFonts w:hint="eastAsia" w:ascii="宋体" w:hAnsi="宋体" w:cs="宋体"/>
                <w:bCs/>
                <w:sz w:val="24"/>
                <w:szCs w:val="24"/>
                <w:lang w:eastAsia="zh-CN"/>
              </w:rPr>
              <w:t xml:space="preserve">，</w:t>
            </w:r>
            <w:r>
              <w:rPr>
                <w:rFonts w:hint="eastAsia" w:ascii="宋体" w:hAnsi="宋体" w:cs="宋体"/>
                <w:bCs/>
                <w:sz w:val="24"/>
                <w:szCs w:val="24"/>
              </w:rPr>
              <w:t xml:space="preserve">教学管理员可创建班级，将新入院的本科生分配到班级中。</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（2）班主任设置</w:t>
            </w:r>
            <w:r>
              <w:rPr>
                <w:rFonts w:hint="eastAsia" w:ascii="宋体" w:hAnsi="宋体" w:cs="宋体"/>
                <w:bCs/>
                <w:sz w:val="24"/>
                <w:szCs w:val="24"/>
                <w:lang w:eastAsia="zh-CN"/>
              </w:rPr>
              <w:t xml:space="preserve">，</w:t>
            </w:r>
            <w:r>
              <w:rPr>
                <w:rFonts w:hint="eastAsia" w:ascii="宋体" w:hAnsi="宋体" w:cs="宋体"/>
                <w:bCs/>
                <w:sz w:val="24"/>
                <w:szCs w:val="24"/>
              </w:rPr>
              <w:t xml:space="preserve">可为每个班级设置班主任、助教、教师。班主任可决定权限、分配教师、查看班级中本科生的信息及相关学习情况。</w:t>
            </w:r>
            <w:r/>
          </w:p>
        </w:tc>
      </w:tr>
      <w:tr>
        <w:trPr>
          <w:trHeight w:val="20"/>
        </w:trPr>
        <w:tc>
          <w:tcPr>
            <w:gridSpan w:val="2"/>
            <w:tcW w:w="704" w:type="dxa"/>
            <w:textDirection w:val="lrTb"/>
            <w:noWrap w:val="false"/>
          </w:tcPr>
          <w:p>
            <w:pPr>
              <w:pStyle w:val="969"/>
              <w:ind w:firstLine="0"/>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5</w:t>
            </w:r>
            <w:r/>
          </w:p>
        </w:tc>
        <w:tc>
          <w:tcPr>
            <w:tcW w:w="1134" w:type="dxa"/>
            <w:textDirection w:val="lrTb"/>
            <w:noWrap w:val="false"/>
          </w:tcPr>
          <w:p>
            <w:pPr>
              <w:pStyle w:val="969"/>
              <w:ind w:firstLine="0"/>
              <w:jc w:val="left"/>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z w:val="24"/>
                <w:szCs w:val="24"/>
              </w:rPr>
              <w:t xml:space="preserve">教学大纲管理</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（1）导入大纲</w:t>
            </w:r>
            <w:r>
              <w:rPr>
                <w:rFonts w:hint="eastAsia" w:ascii="宋体" w:hAnsi="宋体" w:cs="宋体"/>
                <w:bCs/>
                <w:sz w:val="24"/>
                <w:szCs w:val="24"/>
                <w:lang w:eastAsia="zh-CN"/>
              </w:rPr>
              <w:t xml:space="preserve">，</w:t>
            </w:r>
            <w:r>
              <w:rPr>
                <w:rFonts w:hint="eastAsia" w:ascii="宋体" w:hAnsi="宋体" w:cs="宋体"/>
                <w:bCs/>
                <w:sz w:val="24"/>
                <w:szCs w:val="24"/>
              </w:rPr>
              <w:t xml:space="preserve">导入各医学院的大纲，内容包括的各专业学科的具体课程、学时、学分等。</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（2）大纲查询</w:t>
            </w:r>
            <w:r>
              <w:rPr>
                <w:rFonts w:hint="eastAsia" w:ascii="宋体" w:hAnsi="宋体" w:cs="宋体"/>
                <w:bCs/>
                <w:sz w:val="24"/>
                <w:szCs w:val="24"/>
                <w:lang w:eastAsia="zh-CN"/>
              </w:rPr>
              <w:t xml:space="preserve">，</w:t>
            </w:r>
            <w:r>
              <w:rPr>
                <w:rFonts w:hint="eastAsia" w:ascii="宋体" w:hAnsi="宋体" w:cs="宋体"/>
                <w:bCs/>
                <w:sz w:val="24"/>
                <w:szCs w:val="24"/>
              </w:rPr>
              <w:t xml:space="preserve">可查询各医学院的教学大纲。</w:t>
            </w:r>
            <w:r/>
          </w:p>
        </w:tc>
      </w:tr>
      <w:tr>
        <w:trPr>
          <w:trHeight w:val="20"/>
        </w:trPr>
        <w:tc>
          <w:tcPr>
            <w:gridSpan w:val="2"/>
            <w:tcW w:w="704" w:type="dxa"/>
            <w:textDirection w:val="lrTb"/>
            <w:noWrap w:val="false"/>
          </w:tcPr>
          <w:p>
            <w:pPr>
              <w:pStyle w:val="969"/>
              <w:ind w:firstLine="0"/>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6</w:t>
            </w:r>
            <w:r/>
          </w:p>
        </w:tc>
        <w:tc>
          <w:tcPr>
            <w:tcW w:w="1134" w:type="dxa"/>
            <w:textDirection w:val="lrTb"/>
            <w:noWrap w:val="false"/>
          </w:tcPr>
          <w:p>
            <w:pPr>
              <w:pStyle w:val="969"/>
              <w:ind w:firstLine="0"/>
              <w:jc w:val="left"/>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z w:val="24"/>
                <w:szCs w:val="24"/>
              </w:rPr>
              <w:t xml:space="preserve">排课计划</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（1）按周排课</w:t>
            </w:r>
            <w:r>
              <w:rPr>
                <w:rFonts w:hint="eastAsia" w:ascii="宋体" w:hAnsi="宋体" w:cs="宋体"/>
                <w:bCs/>
                <w:sz w:val="24"/>
                <w:szCs w:val="24"/>
                <w:lang w:eastAsia="zh-CN"/>
              </w:rPr>
              <w:t xml:space="preserve">，</w:t>
            </w:r>
            <w:r>
              <w:rPr>
                <w:rFonts w:hint="eastAsia" w:ascii="宋体" w:hAnsi="宋体" w:cs="宋体"/>
                <w:bCs/>
                <w:sz w:val="24"/>
                <w:szCs w:val="24"/>
              </w:rPr>
              <w:t xml:space="preserve">可选择排课在第几周、第几节次、星期几、课程类别。</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（2）课程调整</w:t>
            </w:r>
            <w:r>
              <w:rPr>
                <w:rFonts w:hint="eastAsia" w:ascii="宋体" w:hAnsi="宋体" w:cs="宋体"/>
                <w:bCs/>
                <w:sz w:val="24"/>
                <w:szCs w:val="24"/>
                <w:lang w:eastAsia="zh-CN"/>
              </w:rPr>
              <w:t xml:space="preserve">，</w:t>
            </w:r>
            <w:r>
              <w:rPr>
                <w:rFonts w:hint="eastAsia" w:ascii="宋体" w:hAnsi="宋体" w:cs="宋体"/>
                <w:bCs/>
                <w:sz w:val="24"/>
                <w:szCs w:val="24"/>
              </w:rPr>
              <w:t xml:space="preserve">可对已安排的课程进行调整。</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（3）课表导出</w:t>
            </w:r>
            <w:r>
              <w:rPr>
                <w:rFonts w:hint="eastAsia" w:ascii="宋体" w:hAnsi="宋体" w:cs="宋体"/>
                <w:bCs/>
                <w:sz w:val="24"/>
                <w:szCs w:val="24"/>
                <w:lang w:eastAsia="zh-CN"/>
              </w:rPr>
              <w:t xml:space="preserve">，</w:t>
            </w:r>
            <w:r>
              <w:rPr>
                <w:rFonts w:hint="eastAsia" w:ascii="宋体" w:hAnsi="宋体" w:cs="宋体"/>
                <w:bCs/>
                <w:sz w:val="24"/>
                <w:szCs w:val="24"/>
              </w:rPr>
              <w:t xml:space="preserve">可导出课表及授课书。</w:t>
            </w:r>
            <w:r/>
          </w:p>
        </w:tc>
      </w:tr>
      <w:tr>
        <w:trPr>
          <w:trHeight w:val="20"/>
        </w:trPr>
        <w:tc>
          <w:tcPr>
            <w:gridSpan w:val="2"/>
            <w:tcW w:w="704" w:type="dxa"/>
            <w:textDirection w:val="lrTb"/>
            <w:noWrap w:val="false"/>
          </w:tcPr>
          <w:p>
            <w:pPr>
              <w:pStyle w:val="969"/>
              <w:ind w:firstLine="0"/>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7</w:t>
            </w:r>
            <w:r/>
          </w:p>
        </w:tc>
        <w:tc>
          <w:tcPr>
            <w:tcW w:w="1134" w:type="dxa"/>
            <w:textDirection w:val="lrTb"/>
            <w:noWrap w:val="false"/>
          </w:tcPr>
          <w:p>
            <w:pPr>
              <w:pStyle w:val="969"/>
              <w:ind w:firstLine="0"/>
              <w:jc w:val="left"/>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z w:val="24"/>
                <w:szCs w:val="24"/>
              </w:rPr>
              <w:t xml:space="preserve">校历管理</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（1）创建校历</w:t>
            </w:r>
            <w:r>
              <w:rPr>
                <w:rFonts w:hint="eastAsia" w:ascii="宋体" w:hAnsi="宋体" w:cs="宋体"/>
                <w:bCs/>
                <w:sz w:val="24"/>
                <w:szCs w:val="24"/>
                <w:lang w:eastAsia="zh-CN"/>
              </w:rPr>
              <w:t xml:space="preserve">，</w:t>
            </w:r>
            <w:r>
              <w:rPr>
                <w:rFonts w:hint="eastAsia" w:ascii="宋体" w:hAnsi="宋体" w:cs="宋体"/>
                <w:bCs/>
                <w:sz w:val="24"/>
                <w:szCs w:val="24"/>
              </w:rPr>
              <w:t xml:space="preserve">可创建各个医学院的校历。</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（2）设置节假日</w:t>
            </w:r>
            <w:r>
              <w:rPr>
                <w:rFonts w:hint="eastAsia" w:ascii="宋体" w:hAnsi="宋体" w:cs="宋体"/>
                <w:bCs/>
                <w:sz w:val="24"/>
                <w:szCs w:val="24"/>
                <w:lang w:eastAsia="zh-CN"/>
              </w:rPr>
              <w:t xml:space="preserve">，</w:t>
            </w:r>
            <w:r>
              <w:rPr>
                <w:rFonts w:hint="eastAsia" w:ascii="宋体" w:hAnsi="宋体" w:cs="宋体"/>
                <w:bCs/>
                <w:sz w:val="24"/>
                <w:szCs w:val="24"/>
              </w:rPr>
              <w:t xml:space="preserve">可自动设置法定节假日。</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（3）导出校历</w:t>
            </w:r>
            <w:r>
              <w:rPr>
                <w:rFonts w:hint="eastAsia" w:ascii="宋体" w:hAnsi="宋体" w:cs="宋体"/>
                <w:bCs/>
                <w:sz w:val="24"/>
                <w:szCs w:val="24"/>
                <w:lang w:eastAsia="zh-CN"/>
              </w:rPr>
              <w:t xml:space="preserve">，</w:t>
            </w:r>
            <w:r>
              <w:rPr>
                <w:rFonts w:hint="eastAsia" w:ascii="宋体" w:hAnsi="宋体" w:cs="宋体"/>
                <w:bCs/>
                <w:sz w:val="24"/>
                <w:szCs w:val="24"/>
              </w:rPr>
              <w:t xml:space="preserve">可导出各个医学院的校历。</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（4）设置自定义节日</w:t>
            </w:r>
            <w:r>
              <w:rPr>
                <w:rFonts w:hint="eastAsia" w:ascii="宋体" w:hAnsi="宋体" w:cs="宋体"/>
                <w:bCs/>
                <w:sz w:val="24"/>
                <w:szCs w:val="24"/>
                <w:lang w:eastAsia="zh-CN"/>
              </w:rPr>
              <w:t xml:space="preserve">，</w:t>
            </w:r>
            <w:r>
              <w:rPr>
                <w:rFonts w:hint="eastAsia" w:ascii="宋体" w:hAnsi="宋体" w:cs="宋体"/>
                <w:bCs/>
                <w:sz w:val="24"/>
                <w:szCs w:val="24"/>
              </w:rPr>
              <w:t xml:space="preserve">可手动设置自定义节日,活动,例如：运动会。</w:t>
            </w:r>
            <w:r/>
          </w:p>
        </w:tc>
      </w:tr>
      <w:tr>
        <w:trPr>
          <w:trHeight w:val="20"/>
        </w:trPr>
        <w:tc>
          <w:tcPr>
            <w:gridSpan w:val="2"/>
            <w:tcW w:w="704" w:type="dxa"/>
            <w:textDirection w:val="lrTb"/>
            <w:noWrap w:val="false"/>
          </w:tcPr>
          <w:p>
            <w:pPr>
              <w:pStyle w:val="969"/>
              <w:ind w:firstLine="0"/>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8</w:t>
            </w:r>
            <w:r/>
          </w:p>
        </w:tc>
        <w:tc>
          <w:tcPr>
            <w:tcW w:w="1134" w:type="dxa"/>
            <w:textDirection w:val="lrTb"/>
            <w:noWrap w:val="false"/>
          </w:tcPr>
          <w:p>
            <w:pPr>
              <w:pStyle w:val="969"/>
              <w:ind w:firstLine="0"/>
              <w:jc w:val="left"/>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z w:val="24"/>
                <w:szCs w:val="24"/>
              </w:rPr>
              <w:t xml:space="preserve">教研室排课</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（1）安排讲师</w:t>
            </w:r>
            <w:r>
              <w:rPr>
                <w:rFonts w:hint="eastAsia" w:ascii="宋体" w:hAnsi="宋体" w:cs="宋体"/>
                <w:bCs/>
                <w:sz w:val="24"/>
                <w:szCs w:val="24"/>
                <w:lang w:eastAsia="zh-CN"/>
              </w:rPr>
              <w:t xml:space="preserve">，</w:t>
            </w:r>
            <w:r>
              <w:rPr>
                <w:rFonts w:hint="eastAsia" w:ascii="宋体" w:hAnsi="宋体" w:cs="宋体"/>
                <w:bCs/>
                <w:sz w:val="24"/>
                <w:szCs w:val="24"/>
              </w:rPr>
              <w:t xml:space="preserve">教研室管理员可为已安排的课程安排讲师。</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（2）课程调整</w:t>
            </w:r>
            <w:r>
              <w:rPr>
                <w:rFonts w:hint="eastAsia" w:ascii="宋体" w:hAnsi="宋体" w:cs="宋体"/>
                <w:bCs/>
                <w:sz w:val="24"/>
                <w:szCs w:val="24"/>
                <w:lang w:eastAsia="zh-CN"/>
              </w:rPr>
              <w:t xml:space="preserve">，</w:t>
            </w:r>
            <w:r>
              <w:rPr>
                <w:rFonts w:hint="eastAsia" w:ascii="宋体" w:hAnsi="宋体" w:cs="宋体"/>
                <w:bCs/>
                <w:sz w:val="24"/>
                <w:szCs w:val="24"/>
              </w:rPr>
              <w:t xml:space="preserve">教研室管理员可对已安排的讲师进行调整。</w:t>
            </w:r>
            <w:r/>
          </w:p>
        </w:tc>
      </w:tr>
      <w:tr>
        <w:trPr>
          <w:trHeight w:val="20"/>
        </w:trPr>
        <w:tc>
          <w:tcPr>
            <w:gridSpan w:val="2"/>
            <w:tcW w:w="704" w:type="dxa"/>
            <w:textDirection w:val="lrTb"/>
            <w:noWrap w:val="false"/>
          </w:tcPr>
          <w:p>
            <w:pPr>
              <w:pStyle w:val="969"/>
              <w:ind w:firstLine="0"/>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9</w:t>
            </w:r>
            <w:r/>
          </w:p>
        </w:tc>
        <w:tc>
          <w:tcPr>
            <w:tcW w:w="1134" w:type="dxa"/>
            <w:textDirection w:val="lrTb"/>
            <w:noWrap w:val="false"/>
          </w:tcPr>
          <w:p>
            <w:pPr>
              <w:pStyle w:val="969"/>
              <w:ind w:firstLine="0"/>
              <w:jc w:val="left"/>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z w:val="24"/>
                <w:szCs w:val="24"/>
              </w:rPr>
              <w:t xml:space="preserve">课程评价</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（1）评价填报</w:t>
            </w:r>
            <w:r>
              <w:rPr>
                <w:rFonts w:hint="eastAsia" w:ascii="宋体" w:hAnsi="宋体" w:cs="宋体"/>
                <w:bCs/>
                <w:sz w:val="24"/>
                <w:szCs w:val="24"/>
                <w:lang w:eastAsia="zh-CN"/>
              </w:rPr>
              <w:t xml:space="preserve">，</w:t>
            </w:r>
            <w:r>
              <w:rPr>
                <w:rFonts w:hint="eastAsia" w:ascii="宋体" w:hAnsi="宋体" w:cs="宋体"/>
                <w:bCs/>
                <w:sz w:val="24"/>
                <w:szCs w:val="24"/>
              </w:rPr>
              <w:t xml:space="preserve">本科生可通过系统填写评价表对理论课及讲课老师进行评价。</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（2）评价结果汇总</w:t>
            </w:r>
            <w:r>
              <w:rPr>
                <w:rFonts w:hint="eastAsia" w:ascii="宋体" w:hAnsi="宋体" w:cs="宋体"/>
                <w:bCs/>
                <w:sz w:val="24"/>
                <w:szCs w:val="24"/>
                <w:lang w:eastAsia="zh-CN"/>
              </w:rPr>
              <w:t xml:space="preserve">，</w:t>
            </w:r>
            <w:r>
              <w:rPr>
                <w:rFonts w:hint="eastAsia" w:ascii="宋体" w:hAnsi="宋体" w:cs="宋体"/>
                <w:bCs/>
                <w:sz w:val="24"/>
                <w:szCs w:val="24"/>
              </w:rPr>
              <w:t xml:space="preserve">系统自动汇总评价结果，形成评价报表。</w:t>
            </w:r>
            <w:r/>
          </w:p>
        </w:tc>
      </w:tr>
      <w:tr>
        <w:trPr>
          <w:trHeight w:val="20"/>
        </w:trPr>
        <w:tc>
          <w:tcPr>
            <w:gridSpan w:val="4"/>
            <w:tcW w:w="9920" w:type="dxa"/>
            <w:textDirection w:val="lrTb"/>
            <w:noWrap w:val="false"/>
          </w:tcPr>
          <w:p>
            <w:pPr>
              <w:pStyle w:val="970"/>
              <w:ind w:left="0" w:firstLine="0"/>
              <w:keepLines w:val="0"/>
              <w:keepNext w:val="0"/>
              <w:pageBreakBefore w:val="0"/>
              <w:spacing w:line="240" w:lineRule="auto"/>
              <w:widowControl w:val="off"/>
              <w:rPr>
                <w:rFonts w:hint="eastAsia" w:ascii="宋体" w:hAnsi="宋体" w:eastAsia="宋体" w:cs="宋体"/>
                <w:bCs/>
                <w:spacing w:val="-8"/>
                <w:sz w:val="24"/>
                <w:szCs w:val="24"/>
              </w:rPr>
            </w:pPr>
            <w:r>
              <w:rPr>
                <w:rFonts w:hint="eastAsia" w:ascii="宋体" w:hAnsi="宋体" w:eastAsia="宋体" w:cs="宋体"/>
                <w:b/>
                <w:bCs w:val="0"/>
                <w:spacing w:val="-8"/>
                <w:sz w:val="24"/>
                <w:szCs w:val="24"/>
              </w:rPr>
              <w:t xml:space="preserve">四、实习生管理系统</w:t>
            </w:r>
            <w:r/>
          </w:p>
        </w:tc>
      </w:tr>
      <w:tr>
        <w:trPr>
          <w:trHeight w:val="20"/>
        </w:trPr>
        <w:tc>
          <w:tcPr>
            <w:tcW w:w="689" w:type="dxa"/>
            <w:textDirection w:val="lrTb"/>
            <w:noWrap w:val="false"/>
          </w:tcPr>
          <w:p>
            <w:pPr>
              <w:pStyle w:val="970"/>
              <w:ind w:left="0" w:firstLine="0"/>
              <w:keepLines w:val="0"/>
              <w:keepNext w:val="0"/>
              <w:pageBreakBefore w:val="0"/>
              <w:spacing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1</w:t>
            </w:r>
            <w:r/>
          </w:p>
        </w:tc>
        <w:tc>
          <w:tcPr>
            <w:gridSpan w:val="2"/>
            <w:tcW w:w="1149" w:type="dxa"/>
            <w:textDirection w:val="lrTb"/>
            <w:noWrap w:val="false"/>
          </w:tcPr>
          <w:p>
            <w:pPr>
              <w:pStyle w:val="970"/>
              <w:ind w:left="0" w:firstLine="0"/>
              <w:keepLines w:val="0"/>
              <w:keepNext w:val="0"/>
              <w:pageBreakBefore w:val="0"/>
              <w:spacing w:line="240" w:lineRule="auto"/>
              <w:widowControl w:val="off"/>
              <w:rPr>
                <w:rFonts w:hint="eastAsia" w:ascii="宋体" w:hAnsi="宋体" w:eastAsia="宋体" w:cs="宋体"/>
                <w:bCs/>
                <w:spacing w:val="-8"/>
                <w:sz w:val="24"/>
                <w:szCs w:val="24"/>
              </w:rPr>
            </w:pPr>
            <w:r>
              <w:rPr>
                <w:rFonts w:hint="eastAsia" w:ascii="宋体" w:hAnsi="宋体" w:eastAsia="宋体" w:cs="宋体"/>
                <w:bCs/>
                <w:sz w:val="24"/>
                <w:szCs w:val="24"/>
              </w:rPr>
              <w:t xml:space="preserve">★</w:t>
            </w:r>
            <w:r>
              <w:rPr>
                <w:rFonts w:hint="eastAsia" w:ascii="宋体" w:hAnsi="宋体" w:eastAsia="宋体" w:cs="宋体"/>
                <w:bCs/>
                <w:spacing w:val="-8"/>
                <w:sz w:val="24"/>
                <w:szCs w:val="24"/>
              </w:rPr>
              <w:t xml:space="preserve">轮转计划管</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（1）轮转计划模板</w:t>
            </w:r>
            <w:r>
              <w:rPr>
                <w:rFonts w:hint="eastAsia" w:ascii="宋体" w:hAnsi="宋体" w:cs="宋体"/>
                <w:bCs/>
                <w:sz w:val="24"/>
                <w:szCs w:val="24"/>
                <w:lang w:eastAsia="zh-CN"/>
              </w:rPr>
              <w:t xml:space="preserve">，</w:t>
            </w:r>
            <w:r>
              <w:rPr>
                <w:rFonts w:hint="eastAsia" w:ascii="宋体" w:hAnsi="宋体" w:cs="宋体"/>
                <w:bCs/>
                <w:sz w:val="24"/>
                <w:szCs w:val="24"/>
              </w:rPr>
              <w:t xml:space="preserve">系统可按照本科生实习培训要求，建立轮转计划模板。可按周进行轮转安排。</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（2）编制轮转计划</w:t>
            </w:r>
            <w:r>
              <w:rPr>
                <w:rFonts w:hint="eastAsia" w:ascii="宋体" w:hAnsi="宋体" w:cs="宋体"/>
                <w:bCs/>
                <w:sz w:val="24"/>
                <w:szCs w:val="24"/>
                <w:lang w:eastAsia="zh-CN"/>
              </w:rPr>
              <w:t xml:space="preserve">，</w:t>
            </w:r>
            <w:r>
              <w:rPr>
                <w:rFonts w:hint="eastAsia" w:ascii="宋体" w:hAnsi="宋体" w:cs="宋体"/>
                <w:bCs/>
                <w:sz w:val="24"/>
                <w:szCs w:val="24"/>
              </w:rPr>
              <w:t xml:space="preserve">可导入本科生名单、科室名单，利用轮转模板实现轮转计划编制，排班结果达到科室容量平衡。</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（3）轮转计划查看</w:t>
            </w:r>
            <w:r>
              <w:rPr>
                <w:rFonts w:hint="eastAsia" w:ascii="宋体" w:hAnsi="宋体" w:cs="宋体"/>
                <w:bCs/>
                <w:sz w:val="24"/>
                <w:szCs w:val="24"/>
                <w:lang w:eastAsia="zh-CN"/>
              </w:rPr>
              <w:t xml:space="preserve">，</w:t>
            </w:r>
            <w:r>
              <w:rPr>
                <w:rFonts w:hint="eastAsia" w:ascii="宋体" w:hAnsi="宋体" w:cs="宋体"/>
                <w:bCs/>
                <w:sz w:val="24"/>
                <w:szCs w:val="24"/>
              </w:rPr>
              <w:t xml:space="preserve">可以为管理员、本科生提供轮转计划查询。查询方式有：按姓名生查询、按科室查询。</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（4）轮转计划调整</w:t>
            </w:r>
            <w:r>
              <w:rPr>
                <w:rFonts w:hint="eastAsia" w:ascii="宋体" w:hAnsi="宋体" w:cs="宋体"/>
                <w:bCs/>
                <w:sz w:val="24"/>
                <w:szCs w:val="24"/>
              </w:rPr>
              <w:tab/>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可通过拖拽科室的方式迅速调整轮转计划，也可以点击右键选择拆分合并。</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在同一页面中，可同步查看轮转人员变换信息。</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系统可用不同的颜色区分轮转的状态。</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轮转计划调整均由系统日志自动记录。</w:t>
            </w:r>
            <w:r/>
          </w:p>
        </w:tc>
      </w:tr>
      <w:tr>
        <w:trPr>
          <w:trHeight w:val="20"/>
        </w:trPr>
        <w:tc>
          <w:tcPr>
            <w:tcW w:w="689" w:type="dxa"/>
            <w:textDirection w:val="lrTb"/>
            <w:noWrap w:val="false"/>
          </w:tcPr>
          <w:p>
            <w:pPr>
              <w:pStyle w:val="970"/>
              <w:ind w:left="0" w:firstLine="0"/>
              <w:keepLines w:val="0"/>
              <w:keepNext w:val="0"/>
              <w:pageBreakBefore w:val="0"/>
              <w:spacing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2</w:t>
            </w:r>
            <w:r/>
          </w:p>
        </w:tc>
        <w:tc>
          <w:tcPr>
            <w:gridSpan w:val="2"/>
            <w:tcW w:w="1149" w:type="dxa"/>
            <w:textDirection w:val="lrTb"/>
            <w:noWrap w:val="false"/>
          </w:tcPr>
          <w:p>
            <w:pPr>
              <w:pStyle w:val="970"/>
              <w:ind w:left="0" w:firstLine="0"/>
              <w:keepLines w:val="0"/>
              <w:keepNext w:val="0"/>
              <w:pageBreakBefore w:val="0"/>
              <w:spacing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档案管理</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（1）建立本科生档案 系统可建立本科生培训电子档案，全面记录本科生的个人信息。</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★（2）本科生档案查询</w:t>
            </w:r>
            <w:r>
              <w:rPr>
                <w:rFonts w:hint="eastAsia" w:ascii="宋体" w:hAnsi="宋体" w:cs="宋体"/>
                <w:bCs/>
                <w:sz w:val="24"/>
                <w:szCs w:val="24"/>
              </w:rPr>
              <w:tab/>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向多个管理角色开放档案的查询。</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可根据姓名、工号、学员类型、年级、学制、专业、培训状态筛选需要查询的学员。也可以选择档案基本信息的自定义查询。</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可从所有档案信息中勾选需要的信息导出学员档案。</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可批量粘贴账号查询。</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（3）建立师资档案</w:t>
            </w:r>
            <w:r>
              <w:rPr>
                <w:rFonts w:hint="eastAsia" w:ascii="宋体" w:hAnsi="宋体" w:cs="宋体"/>
                <w:bCs/>
                <w:sz w:val="24"/>
                <w:szCs w:val="24"/>
              </w:rPr>
              <w:tab/>
            </w:r>
            <w:r>
              <w:rPr>
                <w:rFonts w:hint="eastAsia" w:ascii="宋体" w:hAnsi="宋体" w:cs="宋体"/>
                <w:bCs/>
                <w:sz w:val="24"/>
                <w:szCs w:val="24"/>
              </w:rPr>
              <w:t xml:space="preserve">系统可建立本科生独立师资档案，记录个人信息、教学资质等信息。</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（4）师资档案查询</w:t>
            </w:r>
            <w:r>
              <w:rPr>
                <w:rFonts w:hint="eastAsia" w:ascii="宋体" w:hAnsi="宋体" w:cs="宋体"/>
                <w:bCs/>
                <w:sz w:val="24"/>
                <w:szCs w:val="24"/>
              </w:rPr>
              <w:tab/>
            </w:r>
            <w:r>
              <w:rPr>
                <w:rFonts w:hint="eastAsia" w:ascii="宋体" w:hAnsi="宋体" w:cs="宋体"/>
                <w:bCs/>
                <w:sz w:val="24"/>
                <w:szCs w:val="24"/>
              </w:rPr>
              <w:t xml:space="preserve">向教师个人、管理员等角色开放师资档案查询。</w:t>
            </w:r>
            <w:r/>
          </w:p>
        </w:tc>
      </w:tr>
      <w:tr>
        <w:trPr>
          <w:trHeight w:val="20"/>
        </w:trPr>
        <w:tc>
          <w:tcPr>
            <w:tcW w:w="689" w:type="dxa"/>
            <w:textDirection w:val="lrTb"/>
            <w:noWrap w:val="false"/>
          </w:tcPr>
          <w:p>
            <w:pPr>
              <w:pStyle w:val="970"/>
              <w:ind w:left="0" w:firstLine="0"/>
              <w:keepLines w:val="0"/>
              <w:keepNext w:val="0"/>
              <w:pageBreakBefore w:val="0"/>
              <w:spacing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3</w:t>
            </w:r>
            <w:r/>
          </w:p>
        </w:tc>
        <w:tc>
          <w:tcPr>
            <w:gridSpan w:val="2"/>
            <w:tcW w:w="1149" w:type="dxa"/>
            <w:textDirection w:val="lrTb"/>
            <w:noWrap w:val="false"/>
          </w:tcPr>
          <w:p>
            <w:pPr>
              <w:pStyle w:val="970"/>
              <w:ind w:left="0" w:firstLine="0"/>
              <w:keepLines w:val="0"/>
              <w:keepNext w:val="0"/>
              <w:pageBreakBefore w:val="0"/>
              <w:spacing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出入科管理</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（1）入科管理</w:t>
            </w:r>
            <w:r>
              <w:rPr>
                <w:rFonts w:hint="eastAsia" w:ascii="宋体" w:hAnsi="宋体" w:cs="宋体"/>
                <w:bCs/>
                <w:sz w:val="24"/>
                <w:szCs w:val="24"/>
                <w:lang w:eastAsia="zh-CN"/>
              </w:rPr>
              <w:t xml:space="preserve">，</w:t>
            </w:r>
            <w:r>
              <w:rPr>
                <w:rFonts w:hint="eastAsia" w:ascii="宋体" w:hAnsi="宋体" w:cs="宋体"/>
                <w:bCs/>
                <w:sz w:val="24"/>
                <w:szCs w:val="24"/>
              </w:rPr>
              <w:t xml:space="preserve">系统根据轮转计划为科室教秘推送待入科本科生名单，教秘为本科生安排本科室的带教老师，完成入科。</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（2）科室本科生名单</w:t>
            </w:r>
            <w:r>
              <w:rPr>
                <w:rFonts w:hint="eastAsia" w:ascii="宋体" w:hAnsi="宋体" w:cs="宋体"/>
                <w:bCs/>
                <w:sz w:val="24"/>
                <w:szCs w:val="24"/>
                <w:lang w:eastAsia="zh-CN"/>
              </w:rPr>
              <w:t xml:space="preserve">，</w:t>
            </w:r>
            <w:r>
              <w:rPr>
                <w:rFonts w:hint="eastAsia" w:ascii="宋体" w:hAnsi="宋体" w:cs="宋体"/>
                <w:bCs/>
                <w:sz w:val="24"/>
                <w:szCs w:val="24"/>
              </w:rPr>
              <w:t xml:space="preserve">科室主任、科室教秘可查询本科室的本科生名单。</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（3）出科确认</w:t>
            </w:r>
            <w:r>
              <w:rPr>
                <w:rFonts w:hint="eastAsia" w:ascii="宋体" w:hAnsi="宋体" w:cs="宋体"/>
                <w:bCs/>
                <w:sz w:val="24"/>
                <w:szCs w:val="24"/>
                <w:lang w:eastAsia="zh-CN"/>
              </w:rPr>
              <w:t xml:space="preserve">，</w:t>
            </w:r>
            <w:r>
              <w:rPr>
                <w:rFonts w:hint="eastAsia" w:ascii="宋体" w:hAnsi="宋体" w:cs="宋体"/>
                <w:bCs/>
                <w:sz w:val="24"/>
                <w:szCs w:val="24"/>
              </w:rPr>
              <w:t xml:space="preserve">科室教秘可通过系统查看待出科的本科生名单，进行出科操作。</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（4）移动端功能</w:t>
            </w:r>
            <w:r>
              <w:rPr>
                <w:rFonts w:hint="eastAsia" w:ascii="宋体" w:hAnsi="宋体" w:cs="宋体"/>
                <w:bCs/>
                <w:sz w:val="24"/>
                <w:szCs w:val="24"/>
                <w:lang w:eastAsia="zh-CN"/>
              </w:rPr>
              <w:t xml:space="preserve">，</w:t>
            </w:r>
            <w:r>
              <w:rPr>
                <w:rFonts w:hint="eastAsia" w:ascii="宋体" w:hAnsi="宋体" w:cs="宋体"/>
                <w:bCs/>
                <w:sz w:val="24"/>
                <w:szCs w:val="24"/>
              </w:rPr>
              <w:t xml:space="preserve">可在移动端（微信公众号）实现入科管理、科室本科生名单查询。</w:t>
            </w:r>
            <w:r/>
          </w:p>
        </w:tc>
      </w:tr>
      <w:tr>
        <w:trPr>
          <w:trHeight w:val="20"/>
        </w:trPr>
        <w:tc>
          <w:tcPr>
            <w:tcW w:w="689" w:type="dxa"/>
            <w:textDirection w:val="lrTb"/>
            <w:noWrap w:val="false"/>
          </w:tcPr>
          <w:p>
            <w:pPr>
              <w:pStyle w:val="970"/>
              <w:ind w:left="0" w:firstLine="0"/>
              <w:keepLines w:val="0"/>
              <w:keepNext w:val="0"/>
              <w:pageBreakBefore w:val="0"/>
              <w:spacing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4</w:t>
            </w:r>
            <w:r/>
          </w:p>
        </w:tc>
        <w:tc>
          <w:tcPr>
            <w:gridSpan w:val="2"/>
            <w:tcW w:w="1149" w:type="dxa"/>
            <w:textDirection w:val="lrTb"/>
            <w:noWrap w:val="false"/>
          </w:tcPr>
          <w:p>
            <w:pPr>
              <w:pStyle w:val="970"/>
              <w:ind w:left="0" w:firstLine="0"/>
              <w:keepLines w:val="0"/>
              <w:keepNext w:val="0"/>
              <w:pageBreakBefore w:val="0"/>
              <w:spacing w:line="240" w:lineRule="auto"/>
              <w:widowControl w:val="off"/>
              <w:rPr>
                <w:rFonts w:hint="eastAsia" w:ascii="宋体" w:hAnsi="宋体" w:eastAsia="宋体" w:cs="宋体"/>
                <w:bCs/>
                <w:spacing w:val="-8"/>
                <w:sz w:val="24"/>
                <w:szCs w:val="24"/>
              </w:rPr>
            </w:pPr>
            <w:r>
              <w:rPr>
                <w:rFonts w:hint="eastAsia" w:ascii="宋体" w:hAnsi="宋体" w:eastAsia="宋体" w:cs="宋体"/>
                <w:bCs/>
                <w:sz w:val="24"/>
                <w:szCs w:val="24"/>
              </w:rPr>
              <w:t xml:space="preserve">★</w:t>
            </w:r>
            <w:r>
              <w:rPr>
                <w:rFonts w:hint="eastAsia" w:ascii="宋体" w:hAnsi="宋体" w:eastAsia="宋体" w:cs="宋体"/>
                <w:bCs/>
                <w:spacing w:val="-8"/>
                <w:sz w:val="24"/>
                <w:szCs w:val="24"/>
              </w:rPr>
              <w:t xml:space="preserve">考勤管理</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（1）请假申请审核</w:t>
            </w:r>
            <w:r>
              <w:rPr>
                <w:rFonts w:hint="eastAsia" w:ascii="宋体" w:hAnsi="宋体" w:cs="宋体"/>
                <w:bCs/>
                <w:sz w:val="24"/>
                <w:szCs w:val="24"/>
                <w:lang w:eastAsia="zh-CN"/>
              </w:rPr>
              <w:t xml:space="preserve">，</w:t>
            </w:r>
            <w:r>
              <w:rPr>
                <w:rFonts w:hint="eastAsia" w:ascii="宋体" w:hAnsi="宋体" w:cs="宋体"/>
                <w:bCs/>
                <w:sz w:val="24"/>
                <w:szCs w:val="24"/>
              </w:rPr>
              <w:t xml:space="preserve">本科生可通过系统发起请假申请，内容包括：请假类型、原因、时间等。由管理员等各级管理人员进行审批。</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（2）缺勤填报</w:t>
            </w:r>
            <w:r>
              <w:rPr>
                <w:rFonts w:hint="eastAsia" w:ascii="宋体" w:hAnsi="宋体" w:cs="宋体"/>
                <w:bCs/>
                <w:sz w:val="24"/>
                <w:szCs w:val="24"/>
                <w:lang w:eastAsia="zh-CN"/>
              </w:rPr>
              <w:t xml:space="preserve">，</w:t>
            </w:r>
            <w:r>
              <w:rPr>
                <w:rFonts w:hint="eastAsia" w:ascii="宋体" w:hAnsi="宋体" w:cs="宋体"/>
                <w:bCs/>
                <w:sz w:val="24"/>
                <w:szCs w:val="24"/>
              </w:rPr>
              <w:t xml:space="preserve">科室教秘、带教老师为自己管理的本科生填报考勤。可自定义多种考勤类型，包括：值班（日常班、周末班、白班、夜班）、请假（事假、年假、病假、产假、陪产假、探亲假、丧假等等）、出勤（迟到、早退）等，且可根据用户要求再增加或减少考勤类型。</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（3）缺勤记录查看及修改</w:t>
            </w:r>
            <w:r>
              <w:rPr>
                <w:rFonts w:hint="eastAsia" w:ascii="宋体" w:hAnsi="宋体" w:cs="宋体"/>
                <w:bCs/>
                <w:sz w:val="24"/>
                <w:szCs w:val="24"/>
                <w:lang w:eastAsia="zh-CN"/>
              </w:rPr>
              <w:t xml:space="preserve">，</w:t>
            </w:r>
            <w:r>
              <w:rPr>
                <w:rFonts w:hint="eastAsia" w:ascii="宋体" w:hAnsi="宋体" w:cs="宋体"/>
                <w:bCs/>
                <w:sz w:val="24"/>
                <w:szCs w:val="24"/>
              </w:rPr>
              <w:t xml:space="preserve">科室教秘和带教老师可以查看及修改自己填报的考勤表。</w:t>
            </w:r>
            <w:r/>
          </w:p>
        </w:tc>
      </w:tr>
      <w:tr>
        <w:trPr>
          <w:trHeight w:val="20"/>
        </w:trPr>
        <w:tc>
          <w:tcPr>
            <w:tcW w:w="689" w:type="dxa"/>
            <w:textDirection w:val="lrTb"/>
            <w:noWrap w:val="false"/>
          </w:tcPr>
          <w:p>
            <w:pPr>
              <w:pStyle w:val="970"/>
              <w:ind w:left="0" w:firstLine="0"/>
              <w:keepLines w:val="0"/>
              <w:keepNext w:val="0"/>
              <w:pageBreakBefore w:val="0"/>
              <w:spacing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5</w:t>
            </w:r>
            <w:r/>
          </w:p>
        </w:tc>
        <w:tc>
          <w:tcPr>
            <w:gridSpan w:val="2"/>
            <w:tcW w:w="1149" w:type="dxa"/>
            <w:textDirection w:val="lrTb"/>
            <w:noWrap w:val="false"/>
          </w:tcPr>
          <w:p>
            <w:pPr>
              <w:pStyle w:val="970"/>
              <w:ind w:left="0" w:firstLine="0"/>
              <w:keepLines w:val="0"/>
              <w:keepNext w:val="0"/>
              <w:pageBreakBefore w:val="0"/>
              <w:spacing w:line="240" w:lineRule="auto"/>
              <w:widowControl w:val="off"/>
              <w:rPr>
                <w:rFonts w:hint="eastAsia" w:ascii="宋体" w:hAnsi="宋体" w:eastAsia="宋体" w:cs="宋体"/>
                <w:bCs/>
                <w:spacing w:val="-8"/>
                <w:sz w:val="24"/>
                <w:szCs w:val="24"/>
              </w:rPr>
            </w:pPr>
            <w:r>
              <w:rPr>
                <w:rFonts w:hint="eastAsia" w:ascii="宋体" w:hAnsi="宋体" w:eastAsia="宋体" w:cs="宋体"/>
                <w:bCs/>
                <w:sz w:val="24"/>
                <w:szCs w:val="24"/>
              </w:rPr>
              <w:t xml:space="preserve">★</w:t>
            </w:r>
            <w:r>
              <w:rPr>
                <w:rFonts w:hint="eastAsia" w:ascii="宋体" w:hAnsi="宋体" w:eastAsia="宋体" w:cs="宋体"/>
                <w:bCs/>
                <w:spacing w:val="-8"/>
                <w:sz w:val="24"/>
                <w:szCs w:val="24"/>
              </w:rPr>
              <w:t xml:space="preserve">考核管理</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（1）考核评分</w:t>
            </w:r>
            <w:r>
              <w:rPr>
                <w:rFonts w:hint="eastAsia" w:ascii="宋体" w:hAnsi="宋体" w:cs="宋体"/>
                <w:bCs/>
                <w:sz w:val="24"/>
                <w:szCs w:val="24"/>
              </w:rPr>
              <w:tab/>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可通过系统填写本科生的出科考核表单，由上级角色进行审核。可通过系统查询出科考核的各项成绩。</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系统可上传考核现场照片，附于对应的出科考核表。</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可对出科考核进行评分。</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（2）自定义考核表</w:t>
            </w:r>
            <w:r>
              <w:rPr>
                <w:rFonts w:hint="eastAsia" w:ascii="宋体" w:hAnsi="宋体" w:cs="宋体"/>
                <w:bCs/>
                <w:sz w:val="24"/>
                <w:szCs w:val="24"/>
                <w:lang w:eastAsia="zh-CN"/>
              </w:rPr>
              <w:t xml:space="preserve">，</w:t>
            </w:r>
            <w:r>
              <w:rPr>
                <w:rFonts w:hint="eastAsia" w:ascii="宋体" w:hAnsi="宋体" w:cs="宋体"/>
                <w:bCs/>
                <w:sz w:val="24"/>
                <w:szCs w:val="24"/>
              </w:rPr>
              <w:t xml:space="preserve">系统将用户的各类考核表单电子化录入系统，供考核打分使用。支持导出打印考核表。</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（3）移动端功能</w:t>
            </w:r>
            <w:r>
              <w:rPr>
                <w:rFonts w:hint="eastAsia" w:ascii="宋体" w:hAnsi="宋体" w:cs="宋体"/>
                <w:bCs/>
                <w:sz w:val="24"/>
                <w:szCs w:val="24"/>
                <w:lang w:eastAsia="zh-CN"/>
              </w:rPr>
              <w:t xml:space="preserve">，</w:t>
            </w:r>
            <w:r>
              <w:rPr>
                <w:rFonts w:hint="eastAsia" w:ascii="宋体" w:hAnsi="宋体" w:cs="宋体"/>
                <w:bCs/>
                <w:sz w:val="24"/>
                <w:szCs w:val="24"/>
              </w:rPr>
              <w:t xml:space="preserve">可在移动端（微信公众号）实现考核现场打分、审核考核表。</w:t>
            </w:r>
            <w:r/>
          </w:p>
        </w:tc>
      </w:tr>
      <w:tr>
        <w:trPr>
          <w:trHeight w:val="20"/>
        </w:trPr>
        <w:tc>
          <w:tcPr>
            <w:gridSpan w:val="4"/>
            <w:tcW w:w="9920" w:type="dxa"/>
            <w:textDirection w:val="lrTb"/>
            <w:noWrap w:val="false"/>
          </w:tcPr>
          <w:p>
            <w:pPr>
              <w:pStyle w:val="970"/>
              <w:ind w:left="0" w:firstLine="0"/>
              <w:keepLines w:val="0"/>
              <w:keepNext w:val="0"/>
              <w:pageBreakBefore w:val="0"/>
              <w:spacing w:line="240" w:lineRule="auto"/>
              <w:widowControl w:val="off"/>
              <w:rPr>
                <w:rFonts w:hint="eastAsia" w:ascii="宋体" w:hAnsi="宋体" w:eastAsia="宋体" w:cs="宋体"/>
                <w:bCs/>
                <w:spacing w:val="-8"/>
                <w:sz w:val="24"/>
                <w:szCs w:val="24"/>
              </w:rPr>
            </w:pPr>
            <w:r>
              <w:rPr>
                <w:rFonts w:hint="eastAsia" w:ascii="宋体" w:hAnsi="宋体" w:eastAsia="宋体" w:cs="宋体"/>
                <w:b/>
                <w:bCs w:val="0"/>
                <w:spacing w:val="-8"/>
                <w:sz w:val="24"/>
                <w:szCs w:val="24"/>
              </w:rPr>
              <w:t xml:space="preserve">五、研究生管理系统</w:t>
            </w:r>
            <w:r/>
          </w:p>
        </w:tc>
      </w:tr>
      <w:tr>
        <w:trPr>
          <w:trHeight w:val="20"/>
        </w:trPr>
        <w:tc>
          <w:tcPr>
            <w:tcW w:w="689" w:type="dxa"/>
            <w:textDirection w:val="lrTb"/>
            <w:noWrap w:val="false"/>
          </w:tcPr>
          <w:p>
            <w:pPr>
              <w:pStyle w:val="970"/>
              <w:ind w:left="0" w:firstLine="0"/>
              <w:keepLines w:val="0"/>
              <w:keepNext w:val="0"/>
              <w:pageBreakBefore w:val="0"/>
              <w:spacing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1</w:t>
            </w:r>
            <w:r/>
          </w:p>
        </w:tc>
        <w:tc>
          <w:tcPr>
            <w:gridSpan w:val="2"/>
            <w:tcW w:w="1149" w:type="dxa"/>
            <w:textDirection w:val="lrTb"/>
            <w:noWrap w:val="false"/>
          </w:tcPr>
          <w:p>
            <w:pPr>
              <w:pStyle w:val="970"/>
              <w:ind w:left="0" w:firstLine="0"/>
              <w:jc w:val="left"/>
              <w:keepLines w:val="0"/>
              <w:keepNext w:val="0"/>
              <w:pageBreakBefore w:val="0"/>
              <w:spacing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研究生档案管理</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（1）基础信息管理</w:t>
            </w:r>
            <w:r>
              <w:rPr>
                <w:rFonts w:hint="eastAsia" w:ascii="宋体" w:hAnsi="宋体" w:cs="宋体"/>
                <w:bCs/>
                <w:sz w:val="24"/>
                <w:szCs w:val="24"/>
              </w:rPr>
              <w:tab/>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维护并管理研究生基础信息。</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利用导入功能创建初始化档案信息。</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3）</w:t>
            </w:r>
            <w:r>
              <w:rPr>
                <w:rFonts w:hint="eastAsia" w:ascii="宋体" w:hAnsi="宋体" w:cs="宋体"/>
                <w:bCs/>
                <w:sz w:val="24"/>
                <w:szCs w:val="24"/>
              </w:rPr>
              <w:t xml:space="preserve">利用检索条件，按需对研究生信息进行过滤和汇总。</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提供研究生属性的自定义导出功能。</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（2）批量操作</w:t>
            </w:r>
            <w:r>
              <w:rPr>
                <w:rFonts w:hint="eastAsia" w:ascii="宋体" w:hAnsi="宋体" w:cs="宋体"/>
                <w:bCs/>
                <w:sz w:val="24"/>
                <w:szCs w:val="24"/>
                <w:lang w:eastAsia="zh-CN"/>
              </w:rPr>
              <w:t xml:space="preserve">，</w:t>
            </w:r>
            <w:r>
              <w:rPr>
                <w:rFonts w:hint="eastAsia" w:ascii="宋体" w:hAnsi="宋体" w:cs="宋体"/>
                <w:bCs/>
                <w:sz w:val="24"/>
                <w:szCs w:val="24"/>
              </w:rPr>
              <w:t xml:space="preserve">提供批量毕业、批量延期、批量退学、批量删除等批量操作。利用导入，可实现人员属性的批量更新。</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（3）培养过程信息汇总</w:t>
            </w:r>
            <w:r>
              <w:rPr>
                <w:rFonts w:hint="eastAsia" w:ascii="宋体" w:hAnsi="宋体" w:cs="宋体"/>
                <w:bCs/>
                <w:sz w:val="24"/>
                <w:szCs w:val="24"/>
              </w:rPr>
              <w:tab/>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对研究生在整个培养期间的科研类信息进行跟踪和管理。</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对研究生的课程成绩进行跟踪和汇总。</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对研究生参加的各类活动信息进行跟踪和管理。</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对研究生的任职情况和异动情况进行跟踪和管理。</w:t>
            </w:r>
            <w:r/>
          </w:p>
        </w:tc>
      </w:tr>
      <w:tr>
        <w:trPr>
          <w:trHeight w:val="20"/>
        </w:trPr>
        <w:tc>
          <w:tcPr>
            <w:tcW w:w="689" w:type="dxa"/>
            <w:textDirection w:val="lrTb"/>
            <w:noWrap w:val="false"/>
          </w:tcPr>
          <w:p>
            <w:pPr>
              <w:pStyle w:val="970"/>
              <w:ind w:left="0" w:firstLine="0"/>
              <w:keepLines w:val="0"/>
              <w:keepNext w:val="0"/>
              <w:pageBreakBefore w:val="0"/>
              <w:spacing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2</w:t>
            </w:r>
            <w:r/>
          </w:p>
        </w:tc>
        <w:tc>
          <w:tcPr>
            <w:gridSpan w:val="2"/>
            <w:tcW w:w="1149" w:type="dxa"/>
            <w:textDirection w:val="lrTb"/>
            <w:noWrap w:val="false"/>
          </w:tcPr>
          <w:p>
            <w:pPr>
              <w:pStyle w:val="970"/>
              <w:ind w:left="0" w:firstLine="0"/>
              <w:jc w:val="left"/>
              <w:keepLines w:val="0"/>
              <w:keepNext w:val="0"/>
              <w:pageBreakBefore w:val="0"/>
              <w:spacing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导师档案管理</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（1）基础信息管理</w:t>
            </w:r>
            <w:r>
              <w:rPr>
                <w:rFonts w:hint="eastAsia" w:ascii="宋体" w:hAnsi="宋体" w:cs="宋体"/>
                <w:bCs/>
                <w:sz w:val="24"/>
                <w:szCs w:val="24"/>
              </w:rPr>
              <w:tab/>
            </w:r>
            <w:r>
              <w:rPr>
                <w:rFonts w:hint="eastAsia" w:ascii="宋体" w:hAnsi="宋体" w:cs="宋体"/>
                <w:bCs/>
                <w:sz w:val="24"/>
                <w:szCs w:val="24"/>
              </w:rPr>
              <w:t xml:space="preserve">维护并管理研究生导师档案信息。</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（2）关键信息管理</w:t>
            </w:r>
            <w:r>
              <w:rPr>
                <w:rFonts w:hint="eastAsia" w:ascii="宋体" w:hAnsi="宋体" w:cs="宋体"/>
                <w:bCs/>
                <w:sz w:val="24"/>
                <w:szCs w:val="24"/>
              </w:rPr>
              <w:tab/>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1）</w:t>
            </w:r>
            <w:r>
              <w:rPr>
                <w:rFonts w:hint="eastAsia" w:ascii="宋体" w:hAnsi="宋体" w:cs="宋体"/>
                <w:bCs/>
                <w:sz w:val="24"/>
                <w:szCs w:val="24"/>
              </w:rPr>
              <w:t xml:space="preserve">对导师的文章、著作、科研项目、专利等各类科研信息进行跟踪和管理。</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对导师的获奖、表彰、违纪等信息进行跟踪和管理。</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对导师的经费和生源信息进行跟踪和管理。</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（3）导师的学生信息</w:t>
            </w:r>
            <w:r>
              <w:rPr>
                <w:rFonts w:hint="eastAsia" w:ascii="宋体" w:hAnsi="宋体" w:cs="宋体"/>
                <w:bCs/>
                <w:sz w:val="24"/>
                <w:szCs w:val="24"/>
              </w:rPr>
              <w:tab/>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关联到导师的研究生信息。</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对导师带教的研究生信息进行汇总。</w:t>
            </w:r>
            <w:r/>
          </w:p>
        </w:tc>
      </w:tr>
      <w:tr>
        <w:trPr>
          <w:trHeight w:val="20"/>
        </w:trPr>
        <w:tc>
          <w:tcPr>
            <w:tcW w:w="689" w:type="dxa"/>
            <w:textDirection w:val="lrTb"/>
            <w:noWrap w:val="false"/>
          </w:tcPr>
          <w:p>
            <w:pPr>
              <w:keepLines w:val="0"/>
              <w:keepNext w:val="0"/>
              <w:pageBreakBefore w:val="0"/>
              <w:spacing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3</w:t>
            </w:r>
            <w:r/>
          </w:p>
        </w:tc>
        <w:tc>
          <w:tcPr>
            <w:gridSpan w:val="2"/>
            <w:tcW w:w="1149" w:type="dxa"/>
            <w:textDirection w:val="lrTb"/>
            <w:noWrap w:val="false"/>
          </w:tcPr>
          <w:p>
            <w:pPr>
              <w:jc w:val="left"/>
              <w:keepLines w:val="0"/>
              <w:keepNext w:val="0"/>
              <w:pageBreakBefore w:val="0"/>
              <w:spacing w:line="240" w:lineRule="auto"/>
              <w:widowControl w:val="off"/>
              <w:rPr>
                <w:rFonts w:hint="eastAsia" w:ascii="宋体" w:hAnsi="宋体" w:eastAsia="宋体" w:cs="宋体"/>
                <w:b/>
                <w:sz w:val="24"/>
                <w:szCs w:val="24"/>
              </w:rPr>
            </w:pPr>
            <w:r>
              <w:rPr>
                <w:rFonts w:hint="eastAsia" w:ascii="宋体" w:hAnsi="宋体" w:eastAsia="宋体" w:cs="宋体"/>
                <w:bCs/>
                <w:sz w:val="24"/>
                <w:szCs w:val="24"/>
              </w:rPr>
              <w:t xml:space="preserve">考勤管理</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（1）请假申请审核：研究生可通过系统发起请假申请，内容包括：请假类型、原因、时间等。由管理员等各级管理人员进行审批。</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缺勤填报：科室教秘、带教老师为自己管理的本科生填报考勤。可自定义多种考勤类型，包括：值班（日常班、周末班、白班、夜班）、请假（事假、年假、病假、产假、陪产假、探亲假、丧假等等）、出勤（迟到、早退）等，且可根据用户要求再增加或减少考勤类型。</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（3）缺勤记录查看及修改：科室教秘和带教老师可以查看及修改自己填报的考勤表。</w:t>
            </w:r>
            <w:r/>
          </w:p>
        </w:tc>
      </w:tr>
      <w:tr>
        <w:trPr>
          <w:trHeight w:val="20"/>
        </w:trPr>
        <w:tc>
          <w:tcPr>
            <w:gridSpan w:val="4"/>
            <w:tcW w:w="9920" w:type="dxa"/>
            <w:textDirection w:val="lrTb"/>
            <w:noWrap w:val="false"/>
          </w:tcPr>
          <w:p>
            <w:pPr>
              <w:keepLines w:val="0"/>
              <w:keepNext w:val="0"/>
              <w:pageBreakBefore w:val="0"/>
              <w:spacing w:line="240" w:lineRule="auto"/>
              <w:widowControl w:val="off"/>
              <w:rPr>
                <w:rFonts w:hint="eastAsia" w:ascii="宋体" w:hAnsi="宋体" w:eastAsia="宋体" w:cs="宋体"/>
                <w:bCs/>
                <w:spacing w:val="-8"/>
                <w:sz w:val="24"/>
                <w:szCs w:val="24"/>
              </w:rPr>
            </w:pPr>
            <w:r>
              <w:rPr>
                <w:rFonts w:hint="eastAsia" w:ascii="宋体" w:hAnsi="宋体" w:eastAsia="宋体" w:cs="宋体"/>
                <w:bCs/>
                <w:sz w:val="24"/>
                <w:szCs w:val="24"/>
              </w:rPr>
              <w:t xml:space="preserve">★</w:t>
            </w:r>
            <w:r>
              <w:rPr>
                <w:rFonts w:hint="eastAsia" w:ascii="宋体" w:hAnsi="宋体" w:eastAsia="宋体" w:cs="宋体"/>
                <w:b/>
                <w:bCs w:val="0"/>
                <w:spacing w:val="-8"/>
                <w:sz w:val="24"/>
                <w:szCs w:val="24"/>
              </w:rPr>
              <w:t xml:space="preserve">六、住院医师规范化培训管理系统</w:t>
            </w:r>
            <w:r/>
          </w:p>
        </w:tc>
      </w:tr>
      <w:tr>
        <w:trPr>
          <w:trHeight w:val="20"/>
        </w:trPr>
        <w:tc>
          <w:tcPr>
            <w:tcW w:w="689" w:type="dxa"/>
            <w:textDirection w:val="lrTb"/>
            <w:noWrap w:val="false"/>
          </w:tcPr>
          <w:p>
            <w:pPr>
              <w:pStyle w:val="969"/>
              <w:ind w:firstLine="0"/>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1</w:t>
            </w:r>
            <w:r/>
          </w:p>
        </w:tc>
        <w:tc>
          <w:tcPr>
            <w:gridSpan w:val="2"/>
            <w:tcW w:w="1149" w:type="dxa"/>
            <w:textDirection w:val="lrTb"/>
            <w:noWrap w:val="false"/>
          </w:tcPr>
          <w:p>
            <w:pPr>
              <w:pStyle w:val="969"/>
              <w:ind w:firstLine="0"/>
              <w:jc w:val="left"/>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z w:val="24"/>
                <w:szCs w:val="24"/>
              </w:rPr>
              <w:t xml:space="preserve">轮转计划管理</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（1）轮转计划模板</w:t>
            </w:r>
            <w:r>
              <w:rPr>
                <w:rFonts w:hint="eastAsia" w:ascii="宋体" w:hAnsi="宋体" w:cs="宋体"/>
                <w:bCs/>
                <w:sz w:val="24"/>
                <w:szCs w:val="24"/>
              </w:rPr>
              <w:tab/>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系统可按照国家规培要求以及医院教学要求，建立轮转计划模板。</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模板中可设置多种复杂的轮转规则：分阶段编制、科室联排编制、科室几选几编制、科室固定月份编制、导师科室编制等。</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支持对设定的轮转计划规则进行检验，避免规则设置错误。</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（2）个性化轮转方案：支持结合科室工作或学员层次的个性化培养方案。可结合科室工作安排，支持科室层面灵活安排学员轮转计划。</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（3）编制轮转计划：可导入住院医师名单、科室名单、历史轮转数据，利用轮转模板实现轮转计划编制，排班结果达到科室容量平衡。</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（4）轮转计划查看</w:t>
            </w:r>
            <w:r>
              <w:rPr>
                <w:rFonts w:hint="eastAsia" w:ascii="宋体" w:hAnsi="宋体" w:cs="宋体"/>
                <w:bCs/>
                <w:sz w:val="24"/>
                <w:szCs w:val="24"/>
              </w:rPr>
              <w:tab/>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按学员查询：可查询各个住院医师的轮转计划，每个月份所在的轮转科室。可根据学员姓名、时间段、年级、医学方向、学制、学员类型、身份类别、学员状态、专业基地筛选需要查询的住院医师轮转计划。</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按科室查看。可查看各个科室在各个月份的轮转人数，点击人数可查看具体的人员名单。</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支持以EXCEL的形式导出轮转表。定制式轮转计划导出，可根据国家与地区要求导出符合格式要求的文件</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5）轮转计划调整：通过拖拽图形模块的方式调整轮转计划。可在已有轮转数据基础上，拆分合并轮转计划数据，可将住院医师的轮转计划中未轮转过的任意科室轮转顺序互换，支持轮转科室的下级分配功能，教学管理人员可以在学员入科之前将轮转信息向下分配至实际轮转科室。所有调整均有日志自动记录。</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（6）补轮转</w:t>
            </w:r>
            <w:r>
              <w:rPr>
                <w:rFonts w:hint="eastAsia" w:ascii="宋体" w:hAnsi="宋体" w:cs="宋体"/>
                <w:bCs/>
                <w:sz w:val="24"/>
                <w:szCs w:val="24"/>
              </w:rPr>
              <w:tab/>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可按照姓名、工号、身份类别、学历、请假时长范围筛选需要补轮转的住院医师。</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系统可显示住院医师请假期间所在的轮转科室。</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教学管理员选择补轮转的科室和时间。</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系统将教学管理员选择的科室和时间调整至住院医师的轮转计划。</w:t>
            </w:r>
            <w:r/>
          </w:p>
        </w:tc>
      </w:tr>
      <w:tr>
        <w:trPr>
          <w:trHeight w:val="20"/>
        </w:trPr>
        <w:tc>
          <w:tcPr>
            <w:tcW w:w="689" w:type="dxa"/>
            <w:textDirection w:val="lrTb"/>
            <w:noWrap w:val="false"/>
          </w:tcPr>
          <w:p>
            <w:pPr>
              <w:pStyle w:val="969"/>
              <w:ind w:firstLine="0"/>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2</w:t>
            </w:r>
            <w:r/>
          </w:p>
        </w:tc>
        <w:tc>
          <w:tcPr>
            <w:gridSpan w:val="2"/>
            <w:tcW w:w="1149" w:type="dxa"/>
            <w:textDirection w:val="lrTb"/>
            <w:noWrap w:val="false"/>
          </w:tcPr>
          <w:p>
            <w:pPr>
              <w:pStyle w:val="969"/>
              <w:ind w:firstLine="0"/>
              <w:jc w:val="left"/>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z w:val="24"/>
                <w:szCs w:val="24"/>
              </w:rPr>
              <w:t xml:space="preserve">档案管理</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（1）自主注册</w:t>
            </w:r>
            <w:r>
              <w:rPr>
                <w:rFonts w:hint="eastAsia" w:ascii="宋体" w:hAnsi="宋体" w:cs="宋体"/>
                <w:bCs/>
                <w:sz w:val="24"/>
                <w:szCs w:val="24"/>
              </w:rPr>
              <w:tab/>
            </w:r>
            <w:r>
              <w:rPr>
                <w:rFonts w:hint="eastAsia" w:ascii="宋体" w:hAnsi="宋体" w:cs="宋体"/>
                <w:bCs/>
                <w:sz w:val="24"/>
                <w:szCs w:val="24"/>
              </w:rPr>
              <w:t xml:space="preserve">支持住院医师和师资自主注册个人档案，填写个人信息。提交后由教学管理员审核。</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（2）建立住院医师档案</w:t>
            </w:r>
            <w:r>
              <w:rPr>
                <w:rFonts w:hint="eastAsia" w:ascii="宋体" w:hAnsi="宋体" w:cs="宋体"/>
                <w:bCs/>
                <w:sz w:val="24"/>
                <w:szCs w:val="24"/>
              </w:rPr>
              <w:tab/>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系</w:t>
            </w:r>
            <w:r>
              <w:rPr>
                <w:rFonts w:hint="eastAsia" w:ascii="宋体" w:hAnsi="宋体" w:cs="宋体"/>
                <w:bCs/>
                <w:sz w:val="24"/>
                <w:szCs w:val="24"/>
                <w:lang w:val="en-US" w:eastAsia="zh-CN"/>
              </w:rPr>
              <w:t xml:space="preserve">1）</w:t>
            </w:r>
            <w:r>
              <w:rPr>
                <w:rFonts w:hint="eastAsia" w:ascii="宋体" w:hAnsi="宋体" w:cs="宋体"/>
                <w:bCs/>
                <w:sz w:val="24"/>
                <w:szCs w:val="24"/>
              </w:rPr>
              <w:t xml:space="preserve">统可按照中国医师协会要求建立住院医师基本档案信息，包括基本信息、培训信息、工作及学习经历、证照信息。</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档案标签可体现系统中的信息追溯，如：轮转信息、学员评价、教学活动参与情况、出科考核、请假记录与系统的轮转管理、评价管理、教学活动管理、考勤管理模块数据互相关联，相关的信息自动汇总到档案中的对应标签。</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轮转信息中可查看住院医师的已轮转科室、未轮转科室、轮转中科室，以及轮转具体时间和带教老师；学员评价中可查看住院医师轮转过的各个科室的各个角色对其的评价分数及具体评价表；教学活动参与情况中可查看住院医师参加的所有教学活动的时间、地点、名称、签到情况、活动发起组织；出科考核中可查看住院医师已出科的各个科室的出科考核成绩，可显示出科考核各个考核分项的成绩及具体的考核打分表；请假记录中可查看请假类型、开始结束时间、请假事由、紧急联系人、销假状态。</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（3）住院医师档案查询</w:t>
            </w:r>
            <w:r>
              <w:rPr>
                <w:rFonts w:hint="eastAsia" w:ascii="宋体" w:hAnsi="宋体" w:cs="宋体"/>
                <w:bCs/>
                <w:sz w:val="24"/>
                <w:szCs w:val="24"/>
              </w:rPr>
              <w:tab/>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向多个管理角色开放住院医师档案的查询。</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可根据姓名、工号、学员类型、身份类别、年级、学制、专业基地、医学方向、培训状态筛选需要查询的住院医师。也可以选择档案基本信息的自定义查询。</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可批量导入学员基本信息和结业证书。</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可按照医师协会格式要求进行学员信息的导出、可按照管理要求自定义导出学员档案信息、可批量导出学员档案头像。</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批量粘贴账号查询。</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6）</w:t>
            </w:r>
            <w:r>
              <w:rPr>
                <w:rFonts w:hint="eastAsia" w:ascii="宋体" w:hAnsi="宋体" w:cs="宋体"/>
                <w:bCs/>
                <w:sz w:val="24"/>
                <w:szCs w:val="24"/>
              </w:rPr>
              <w:t xml:space="preserve">可批量调整学员的结业、延期、退赔等培训状态，并可根据不同培训状态填写对应的时间及原因。</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7）</w:t>
            </w:r>
            <w:r>
              <w:rPr>
                <w:rFonts w:hint="eastAsia" w:ascii="宋体" w:hAnsi="宋体" w:cs="宋体"/>
                <w:bCs/>
                <w:sz w:val="24"/>
                <w:szCs w:val="24"/>
              </w:rPr>
              <w:t xml:space="preserve">管理可重置学员的登录密码，可解除学员的移动端使用权限。</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（4）建立师资档案</w:t>
            </w:r>
            <w:r>
              <w:rPr>
                <w:rFonts w:hint="eastAsia" w:ascii="宋体" w:hAnsi="宋体" w:cs="宋体"/>
                <w:bCs/>
                <w:sz w:val="24"/>
                <w:szCs w:val="24"/>
              </w:rPr>
              <w:tab/>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系统可建立师资档案。</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档案标签包括基本信息、担任角色、带教经历、历史评价、教学活动记录。</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担任角色、带教经历、历史评价、教学活动记录等标签内容由系统的角色管理、入科分配、评价管理、教学活动管理等模块数据生成，相关信息自动汇总到档案中的对应标签。</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担任角色标签中可调整任职开始结束时间。</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档案中可记录师资人员参加过的各级师资培训，可上传培训证明。</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（5）师资档案查询</w:t>
            </w:r>
            <w:r>
              <w:rPr>
                <w:rFonts w:hint="eastAsia" w:ascii="宋体" w:hAnsi="宋体" w:cs="宋体"/>
                <w:bCs/>
                <w:sz w:val="24"/>
                <w:szCs w:val="24"/>
              </w:rPr>
              <w:tab/>
            </w:r>
            <w:r>
              <w:rPr>
                <w:rFonts w:hint="eastAsia" w:ascii="宋体" w:hAnsi="宋体" w:cs="宋体"/>
                <w:bCs/>
                <w:sz w:val="24"/>
                <w:szCs w:val="24"/>
              </w:rPr>
              <w:t xml:space="preserve">向多个管理角色开放师资档案的查询。可根据姓名、工号、职称、师资类型、状态筛选需要查询的师资人员。</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（6）档案审核：可根据配置设置档案维护内容是否需要审核，医教管理部门对设置为需要审核的内容进行审核，确认填报数据的准确性。</w:t>
            </w:r>
            <w:r/>
          </w:p>
        </w:tc>
      </w:tr>
      <w:tr>
        <w:trPr>
          <w:trHeight w:val="20"/>
        </w:trPr>
        <w:tc>
          <w:tcPr>
            <w:tcW w:w="689" w:type="dxa"/>
            <w:textDirection w:val="lrTb"/>
            <w:noWrap w:val="false"/>
          </w:tcPr>
          <w:p>
            <w:pPr>
              <w:pStyle w:val="969"/>
              <w:ind w:firstLine="0"/>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pacing w:val="-8"/>
                <w:sz w:val="24"/>
                <w:szCs w:val="24"/>
              </w:rPr>
              <w:t xml:space="preserve">3</w:t>
            </w:r>
            <w:r/>
          </w:p>
        </w:tc>
        <w:tc>
          <w:tcPr>
            <w:gridSpan w:val="2"/>
            <w:tcW w:w="1149" w:type="dxa"/>
            <w:textDirection w:val="lrTb"/>
            <w:noWrap w:val="false"/>
          </w:tcPr>
          <w:p>
            <w:pPr>
              <w:pStyle w:val="969"/>
              <w:ind w:firstLine="0"/>
              <w:jc w:val="left"/>
              <w:keepLines w:val="0"/>
              <w:keepNext w:val="0"/>
              <w:pageBreakBefore w:val="0"/>
              <w:spacing w:before="0" w:after="0" w:line="240" w:lineRule="auto"/>
              <w:widowControl w:val="off"/>
              <w:rPr>
                <w:rFonts w:hint="eastAsia" w:ascii="宋体" w:hAnsi="宋体" w:eastAsia="宋体" w:cs="宋体"/>
                <w:bCs/>
                <w:spacing w:val="-8"/>
                <w:sz w:val="24"/>
                <w:szCs w:val="24"/>
              </w:rPr>
            </w:pPr>
            <w:r>
              <w:rPr>
                <w:rFonts w:hint="eastAsia" w:ascii="宋体" w:hAnsi="宋体" w:eastAsia="宋体" w:cs="宋体"/>
                <w:bCs/>
                <w:sz w:val="24"/>
                <w:szCs w:val="24"/>
              </w:rPr>
              <w:t xml:space="preserve">督导管理</w:t>
            </w:r>
            <w:r/>
          </w:p>
        </w:tc>
        <w:tc>
          <w:tcPr>
            <w:tcW w:w="8082" w:type="dxa"/>
            <w:textDirection w:val="lrTb"/>
            <w:noWrap w:val="false"/>
          </w:tcPr>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（1）督导权限设置：管理员可以为用户设置督导专家权限。</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（2）教学活动督导</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教学管理员可通过系统发起教学活动督导、选择需要督导的教学活动，设置督导专家。由专家填写督导评分表，管理员可查看督导评分结果。</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教学管理员可设置发起督导部门，然后根据不同的发起部门配置督导专家，根据各自的督导内容进行督导。</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督导自行发起，可由基地自行发起督导。</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督导专家设定，可以选择任意部门的督导专家进行督导。</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（3）出科考核督导</w:t>
            </w:r>
            <w:r>
              <w:rPr>
                <w:rFonts w:hint="eastAsia" w:ascii="宋体" w:hAnsi="宋体" w:cs="宋体"/>
                <w:bCs/>
                <w:sz w:val="24"/>
                <w:szCs w:val="24"/>
              </w:rPr>
              <w:tab/>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教学管理员可通过系统发起出科考核督导、选择需要督导的科室、时间、设置督导专家。由专家填写督导评分表，管理员可查看督导评分结果。</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再次督导，功能是科室反馈后，督导专家或教学管理员可以根据上次发现的问题对科室再次进行督导，相关督导的数据可关联查看，便于回顾历史的督导内容和督导反馈情况。</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教学管理员可以设置发起督导部门，然后根据不同的发起部门配置督导专家，根据各自的督导内容进行督导。</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督导自行发起，可由基地自行发起督导。</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督导专家设定，可以选择任意部门的督导专家进行督导。</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（4）科室管理督导</w:t>
            </w:r>
            <w:r>
              <w:rPr>
                <w:rFonts w:hint="eastAsia" w:ascii="宋体" w:hAnsi="宋体" w:cs="宋体"/>
                <w:bCs/>
                <w:sz w:val="24"/>
                <w:szCs w:val="24"/>
              </w:rPr>
              <w:tab/>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教学管理员可通过系统发起科室管理督导、选择需要督导的科室、时间、设置督导专家。由专家填写督导评分表，管理员可查看督导评分结果。</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再次督导，功能是科室反馈后，督导专家或教学管理员可以根据上次发现的问题对科室再次进行督导，相关督导的数据可关联查看，便于回顾历史的督导内容和督导反馈情况。</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教学管理员可以设置发起督导部门，然后根据不同的发起部门配置督导专家，根据各自的督导内容进行督导。</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督导自行发起，可由基地自行发起督导。</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督导专家设定，可以选择任意部门的督导专家进行督导。</w:t>
            </w:r>
            <w:r/>
          </w:p>
          <w:p>
            <w:pPr>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（5）督导统计</w:t>
            </w:r>
            <w:r>
              <w:rPr>
                <w:rFonts w:hint="eastAsia" w:ascii="宋体" w:hAnsi="宋体" w:cs="宋体"/>
                <w:bCs/>
                <w:sz w:val="24"/>
                <w:szCs w:val="24"/>
              </w:rPr>
              <w:tab/>
            </w:r>
            <w:r>
              <w:rPr>
                <w:rFonts w:hint="eastAsia" w:ascii="宋体" w:hAnsi="宋体" w:cs="宋体"/>
                <w:bCs/>
                <w:sz w:val="24"/>
                <w:szCs w:val="24"/>
              </w:rPr>
              <w:t xml:space="preserve">管理员和督导专家可以查阅督导记录及数据统计。</w:t>
            </w:r>
            <w:r/>
          </w:p>
        </w:tc>
      </w:tr>
    </w:tbl>
    <w:p>
      <w:pPr>
        <w:keepLines w:val="0"/>
        <w:keepNext w:val="0"/>
        <w:pageBreakBefore w:val="0"/>
        <w:spacing w:line="240" w:lineRule="auto"/>
        <w:widowControl w:val="off"/>
        <w:rPr>
          <w:rFonts w:hint="eastAsia" w:ascii="黑体" w:hAnsi="黑体" w:eastAsia="黑体" w:cs="黑体"/>
          <w:sz w:val="24"/>
          <w:szCs w:val="24"/>
        </w:rPr>
      </w:pPr>
      <w:r>
        <w:rPr>
          <w:rFonts w:hint="eastAsia" w:ascii="黑体" w:hAnsi="黑体" w:eastAsia="黑体" w:cs="黑体"/>
          <w:sz w:val="24"/>
          <w:szCs w:val="24"/>
        </w:rPr>
      </w:r>
      <w:r/>
    </w:p>
    <w:p>
      <w:pPr>
        <w:ind w:firstLine="480"/>
        <w:keepLines w:val="0"/>
        <w:keepNext w:val="0"/>
        <w:pageBreakBefore w:val="0"/>
        <w:spacing w:line="240" w:lineRule="auto"/>
        <w:widowControl w:val="off"/>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0"/>
        <w:keepLines w:val="0"/>
        <w:keepNext w:val="0"/>
        <w:pageBreakBefore w:val="0"/>
        <w:spacing w:line="240" w:lineRule="auto"/>
        <w:widowControl w:val="off"/>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报价要求</w:t>
      </w:r>
      <w:r/>
    </w:p>
    <w:p>
      <w:pPr>
        <w:ind w:firstLine="480"/>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t xml:space="preserve">2.实施要求</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（1）总体要求</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（2）质量要求</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①供应商提供的系统能够根据采购人实际需求与医院各院区所有信息系统、集成平台做对接及集成（对接人：</w:t>
      </w:r>
      <w:r>
        <w:rPr>
          <w:rFonts w:hint="eastAsia" w:ascii="宋体" w:hAnsi="宋体" w:cs="宋体"/>
          <w:sz w:val="24"/>
          <w:szCs w:val="24"/>
          <w:lang w:val="en-US" w:eastAsia="zh-CN"/>
        </w:rPr>
        <w:t xml:space="preserve">李工；</w:t>
      </w:r>
      <w:r>
        <w:rPr>
          <w:rFonts w:ascii="宋体" w:hAnsi="宋体" w:cs="宋体"/>
          <w:sz w:val="24"/>
          <w:szCs w:val="24"/>
        </w:rPr>
        <w:t xml:space="preserve">联系电话：025-83106666转6062</w:t>
      </w:r>
      <w:r>
        <w:rPr>
          <w:rFonts w:hint="eastAsia" w:ascii="宋体" w:hAnsi="宋体" w:cs="宋体"/>
          <w:sz w:val="24"/>
          <w:szCs w:val="24"/>
          <w:lang w:val="en-US" w:eastAsia="zh-CN"/>
        </w:rPr>
        <w:t xml:space="preserve">6</w:t>
      </w:r>
      <w:r>
        <w:rPr>
          <w:rFonts w:ascii="宋体" w:hAnsi="宋体" w:cs="宋体"/>
          <w:sz w:val="24"/>
          <w:szCs w:val="24"/>
        </w:rPr>
        <w:t xml:space="preserve">）：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②本章中所列技术要求为医院项目初步需求，具体需求以国家最新政策标准为准。</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（3）验收要求</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项目实施完成后，将项目软件安装调试完毕、系统集成完毕后交付使用，并对采购人进行全面培训与实施维护培训后方可申请验收。供应商应按医院项目验收管理要求提供系统的相关验收文档，包括但不限于用户使用手册、安装文档等相关资料，并且实现数据标准化接入平台。验收合格后，采购人在验收单上签字，并加盖单位公章。</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（4）运维要求</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①</w:t>
      </w:r>
      <w:r>
        <w:rPr>
          <w:rFonts w:hint="eastAsia" w:ascii="宋体" w:hAnsi="宋体" w:cs="宋体"/>
          <w:sz w:val="24"/>
          <w:szCs w:val="24"/>
        </w:rPr>
        <w:t xml:space="preserve">维保期：供应商应确保本次采购所有项目的安全稳定的运行，并提供3年维保服务（自验收报告签字确认日起，开始进入维保期，相关费用包含在本次报价中）。维保期内，本合同项目所有技术和服务发生任何非人为故障，由供应商负责系统恢复。</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②维保期内，对采购人提出的合理服务要求，供应商必须即时进行电话、邮件及远程网络支持，并在2小时内到场服务，小型故障恢复时间为4个小时</w:t>
      </w:r>
      <w:r>
        <w:rPr>
          <w:rFonts w:hint="eastAsia" w:ascii="宋体" w:hAnsi="宋体" w:cs="宋体"/>
          <w:sz w:val="24"/>
          <w:szCs w:val="24"/>
        </w:rPr>
        <w:t xml:space="preserve">内</w:t>
      </w:r>
      <w:r>
        <w:rPr>
          <w:rFonts w:ascii="宋体" w:hAnsi="宋体" w:cs="宋体"/>
          <w:sz w:val="24"/>
          <w:szCs w:val="24"/>
        </w:rPr>
        <w:t xml:space="preserve">，严重故障恢复时间为24小时内，并及时有效的提供解决方案。如不到场，采购人有权自行处理，相关费用由供应商负责。</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③供应商须提供定期回访服务，对采购人提出的合理优化建议应提供升级服务。</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④所有的服务方式均为供应商上门保修，即由供应商派员到系统使用现场进行故障恢复，由此产生的一切费用均由供应商承担。</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⑤本采购项目出保后</w:t>
      </w:r>
      <w:r>
        <w:rPr>
          <w:rFonts w:hint="eastAsia" w:ascii="宋体" w:hAnsi="宋体" w:cs="宋体"/>
          <w:sz w:val="24"/>
          <w:szCs w:val="24"/>
        </w:rPr>
        <w:t xml:space="preserve">系统、模型及硬件</w:t>
      </w:r>
      <w:r>
        <w:rPr>
          <w:rFonts w:ascii="宋体" w:hAnsi="宋体" w:cs="宋体"/>
          <w:sz w:val="24"/>
          <w:szCs w:val="24"/>
        </w:rPr>
        <w:t xml:space="preserve">每年的维护费分别不超过各自合同金额的5%。</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⑥质保期内供应商提供的系统软件升级，保证采购人使用最新版本软件。质保期满后软件版本内终身升级。</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（5）人员要求</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本项目实施期间至本项目验收合格之日止要求服务人数不低于</w:t>
      </w:r>
      <w:r>
        <w:rPr>
          <w:rFonts w:hint="eastAsia" w:ascii="宋体" w:hAnsi="宋体" w:cs="宋体"/>
          <w:sz w:val="24"/>
          <w:szCs w:val="24"/>
        </w:rPr>
        <w:t xml:space="preserve">4</w:t>
      </w:r>
      <w:r>
        <w:rPr>
          <w:rFonts w:ascii="宋体" w:hAnsi="宋体" w:cs="宋体"/>
          <w:sz w:val="24"/>
          <w:szCs w:val="24"/>
        </w:rPr>
        <w:t xml:space="preserve">人（含项目经理1人），且项目实施期内提供不低于1人的驻场服务。</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（6）权利保证</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①供应商保证对其提供给采购人使用的软件系统拥有合法完整的版权和其他合法权利，有权授权采购人使用，并且不会侵害任何第三方的合法权益；如果任何第三方提出侵权指控，则与采购人无关，供应商须与第三方交涉并承担可能发生的后果与一切费用。如采购人因此而遭致损失的，供应商应赔偿该损失。</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②供应商为本项目提供的系统，在供应商因自身原因（包括但不限于公司破产、解散等）不再向采购人提供维护服务时，供应商必须无条件向采购人提供最新版本的系统软件源代码使用权，以方便采购人进行后续系统护。</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③基于本项目合同履行形成的知识产权和其他权益，其权属归采购人所有，法律另有规定的除外。</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（7）建设成果要求</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供应商在项目建设的各个阶段及时提交建设成果，主要包括但不限于以下内容：</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①项目启动阶段：项目实施方案。 </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②业务需求分析阶段：需求调研方案、需求分析说明书。</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③系统设计、开发阶段：需求规格说明书、概要设计说明书、详细设计说明书、数据库设计说明书、系统接口说明书。 </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④系统实施阶段：系统上线部署方案、软件安装说明书、软件使用说明书、系统安装光盘、系统培训方案、系统培训手册。 </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⑤项目验收阶段：测试报告、项目验收方案、系统运行报告、项目验收报告。 </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⑥运行维护阶段：系统维护方案、系统维护手册、系统运行维护记录。</w:t>
      </w:r>
      <w:r/>
    </w:p>
    <w:p>
      <w:pPr>
        <w:ind w:firstLine="480"/>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（1）交付时间：合同签订后</w:t>
      </w:r>
      <w:r>
        <w:rPr>
          <w:rFonts w:hint="eastAsia" w:ascii="宋体" w:hAnsi="宋体"/>
          <w:sz w:val="24"/>
          <w:szCs w:val="24"/>
          <w:lang w:val="en-US" w:eastAsia="zh-CN"/>
        </w:rPr>
        <w:t xml:space="preserve">60</w:t>
      </w:r>
      <w:r>
        <w:rPr>
          <w:rFonts w:ascii="宋体" w:hAnsi="宋体" w:cs="宋体"/>
          <w:sz w:val="24"/>
          <w:szCs w:val="24"/>
        </w:rPr>
        <w:t xml:space="preserve">天内</w:t>
      </w:r>
      <w:r>
        <w:rPr>
          <w:rFonts w:hint="eastAsia" w:ascii="宋体" w:hAnsi="宋体" w:cs="宋体"/>
          <w:sz w:val="24"/>
          <w:szCs w:val="24"/>
        </w:rPr>
        <w:t xml:space="preserve">完成系统开发</w:t>
      </w:r>
      <w:r>
        <w:rPr>
          <w:rFonts w:ascii="宋体" w:hAnsi="宋体" w:cs="宋体"/>
          <w:sz w:val="24"/>
          <w:szCs w:val="24"/>
        </w:rPr>
        <w:t xml:space="preserve">。</w:t>
      </w:r>
      <w:r/>
    </w:p>
    <w:p>
      <w:pPr>
        <w:ind w:firstLine="480"/>
        <w:keepLines w:val="0"/>
        <w:keepNext w:val="0"/>
        <w:pageBreakBefore w:val="0"/>
        <w:spacing w:line="240" w:lineRule="auto"/>
        <w:widowControl w:val="off"/>
        <w:rPr>
          <w:rFonts w:hint="eastAsia" w:ascii="宋体" w:hAnsi="宋体" w:cs="宋体"/>
          <w:sz w:val="24"/>
          <w:szCs w:val="24"/>
          <w:highlight w:val="yellow"/>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5.履约保证金</w:t>
      </w:r>
      <w:r/>
    </w:p>
    <w:p>
      <w:pPr>
        <w:ind w:firstLine="480"/>
        <w:keepLines w:val="0"/>
        <w:keepNext w:val="0"/>
        <w:pageBreakBefore w:val="0"/>
        <w:spacing w:line="240" w:lineRule="auto"/>
        <w:widowControl w:val="off"/>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6.其他要求</w:t>
      </w:r>
      <w:r/>
    </w:p>
    <w:p>
      <w:pPr>
        <w:ind w:firstLine="480"/>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bCs/>
          <w:sz w:val="24"/>
          <w:szCs w:val="24"/>
        </w:rPr>
        <w:t xml:space="preserve">供应商在签订合同向采购人提供上述相关证明材料原件核验。</w:t>
      </w:r>
      <w:r/>
    </w:p>
    <w:p>
      <w:pPr>
        <w:ind w:firstLine="480"/>
        <w:keepLines w:val="0"/>
        <w:keepNext w:val="0"/>
        <w:pageBreakBefore w:val="0"/>
        <w:spacing w:line="240" w:lineRule="auto"/>
        <w:widowControl w:val="off"/>
        <w:rPr>
          <w:rFonts w:hint="eastAsia" w:ascii="宋体" w:hAnsi="宋体" w:cs="宋体"/>
          <w:bCs/>
          <w:sz w:val="24"/>
          <w:szCs w:val="24"/>
        </w:rPr>
      </w:pPr>
      <w:r>
        <w:rPr>
          <w:rFonts w:hint="eastAsia" w:ascii="宋体" w:hAnsi="宋体" w:cs="宋体"/>
          <w:bCs/>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921"/>
        <w:rPr>
          <w:rFonts w:hint="eastAsia"/>
          <w:lang w:val="en-US"/>
        </w:rPr>
      </w:pPr>
      <w:r>
        <w:rPr>
          <w:rFonts w:hint="eastAsia"/>
          <w:lang w:val="en-US"/>
        </w:rPr>
      </w:r>
      <w:r/>
    </w:p>
    <w:p>
      <w:pPr>
        <w:pStyle w:val="921"/>
        <w:rPr>
          <w:rFonts w:hint="eastAsia" w:ascii="宋体" w:hAnsi="宋体" w:eastAsia="宋体"/>
          <w:sz w:val="24"/>
          <w:szCs w:val="24"/>
        </w:rPr>
      </w:pPr>
      <w:r>
        <w:rPr>
          <w:rFonts w:hint="eastAsia" w:ascii="宋体" w:hAnsi="宋体" w:eastAsia="宋体"/>
          <w:sz w:val="24"/>
          <w:szCs w:val="24"/>
        </w:rPr>
      </w:r>
      <w:r/>
    </w:p>
    <w:p>
      <w:pPr>
        <w:rPr>
          <w:rFonts w:hint="eastAsia"/>
        </w:rPr>
      </w:pPr>
      <w:r>
        <w:rPr>
          <w:rFonts w:hint="eastAsia"/>
        </w:rPr>
      </w:r>
      <w:r/>
    </w:p>
    <w:p>
      <w:pPr>
        <w:pStyle w:val="921"/>
        <w:rPr>
          <w:rFonts w:hint="eastAsia" w:ascii="宋体" w:hAnsi="宋体" w:eastAsia="宋体"/>
          <w:sz w:val="24"/>
          <w:szCs w:val="24"/>
        </w:rPr>
      </w:pPr>
      <w:r>
        <w:rPr>
          <w:rFonts w:hint="eastAsia" w:ascii="宋体" w:hAnsi="宋体" w:eastAsia="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rPr>
      </w:pPr>
      <w:r>
        <w:rPr>
          <w:rFonts w:hint="eastAsia"/>
        </w:rPr>
      </w:r>
      <w:r/>
    </w:p>
    <w:p>
      <w:pPr>
        <w:ind w:right="840"/>
        <w:jc w:val="center"/>
        <w:rPr>
          <w:rFonts w:hint="eastAsia" w:ascii="方正小标宋简体" w:hAnsi="方正小标宋简体" w:eastAsia="方正小标宋简体" w:cs="方正小标宋简体"/>
          <w:color w:val="000000"/>
          <w:sz w:val="36"/>
          <w:szCs w:val="36"/>
        </w:rPr>
        <w:outlineLvl w:val="0"/>
      </w:pPr>
      <w:r/>
      <w:bookmarkStart w:id="193"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rPr>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keepLines w:val="0"/>
        <w:keepNext w:val="0"/>
        <w:pageBreakBefore w:val="0"/>
        <w:spacing w:line="264" w:lineRule="auto"/>
        <w:widowControl w:val="off"/>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1.采用综合评分法，评标结果按评审后得分由高到低顺序排列。得分相同的，按投标报价由低到高顺序排列。得分且投标报价相同的，按“三、评标标准中</w:t>
      </w:r>
      <w:r>
        <w:rPr>
          <w:rFonts w:hint="eastAsia" w:ascii="宋体" w:hAnsi="宋体"/>
          <w:sz w:val="24"/>
          <w:szCs w:val="24"/>
        </w:rPr>
        <w:t xml:space="preserve">2.1-2.4</w:t>
      </w:r>
      <w:r>
        <w:rPr>
          <w:rFonts w:hint="eastAsia" w:ascii="宋体" w:hAnsi="宋体" w:cs="宋体"/>
          <w:sz w:val="24"/>
          <w:szCs w:val="24"/>
        </w:rPr>
        <w:t xml:space="preserve">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keepLines w:val="0"/>
        <w:keepNext w:val="0"/>
        <w:pageBreakBefore w:val="0"/>
        <w:spacing w:line="264" w:lineRule="auto"/>
        <w:widowControl w:val="off"/>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ind w:firstLine="480"/>
        <w:keepLines w:val="0"/>
        <w:keepNext w:val="0"/>
        <w:pageBreakBefore w:val="0"/>
        <w:spacing w:line="264" w:lineRule="auto"/>
        <w:widowControl w:val="off"/>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20%</w:t>
      </w:r>
      <w:r>
        <w:rPr>
          <w:rFonts w:hint="eastAsia" w:ascii="宋体" w:hAnsi="宋体" w:cs="宋体"/>
          <w:sz w:val="24"/>
          <w:szCs w:val="24"/>
        </w:rPr>
        <w:t xml:space="preserve">的扣除，用扣除后的价格参与评审。</w:t>
      </w:r>
      <w:r/>
    </w:p>
    <w:p>
      <w:pPr>
        <w:ind w:firstLine="480"/>
        <w:keepLines w:val="0"/>
        <w:keepNext w:val="0"/>
        <w:pageBreakBefore w:val="0"/>
        <w:spacing w:line="264" w:lineRule="auto"/>
        <w:widowControl w:val="off"/>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三、评标标准</w:t>
      </w:r>
      <w:r/>
    </w:p>
    <w:tbl>
      <w:tblPr>
        <w:tblStyle w:val="699"/>
        <w:tblW w:w="99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783"/>
        <w:gridCol w:w="567"/>
        <w:gridCol w:w="932"/>
      </w:tblGrid>
      <w:tr>
        <w:trPr>
          <w:jc w:val="center"/>
          <w:trHeight w:val="486"/>
          <w:tblHeader/>
        </w:trPr>
        <w:tc>
          <w:tcPr>
            <w:tcBorders>
              <w:top w:val="single" w:color="000000" w:sz="2" w:space="0"/>
              <w:bottom w:val="single" w:color="000000" w:sz="2" w:space="0"/>
            </w:tcBorders>
            <w:tcW w:w="519" w:type="dxa"/>
            <w:textDirection w:val="lrTb"/>
            <w:noWrap w:val="false"/>
          </w:tcPr>
          <w:p>
            <w:pPr>
              <w:jc w:val="center"/>
              <w:keepLines w:val="0"/>
              <w:keepNext w:val="0"/>
              <w:pageBreakBefore w:val="0"/>
              <w:spacing w:line="264" w:lineRule="auto"/>
              <w:widowControl w:val="off"/>
              <w:rPr>
                <w:rFonts w:hint="eastAsia" w:ascii="宋体" w:hAnsi="宋体" w:eastAsia="宋体" w:cs="宋体"/>
                <w:b/>
                <w:bCs/>
                <w:spacing w:val="-2"/>
                <w:sz w:val="24"/>
                <w:szCs w:val="24"/>
              </w:rPr>
            </w:pPr>
            <w:r>
              <w:rPr>
                <w:rFonts w:hint="eastAsia" w:ascii="宋体" w:hAnsi="宋体" w:eastAsia="宋体" w:cs="宋体"/>
                <w:b/>
                <w:bCs/>
                <w:spacing w:val="-2"/>
                <w:sz w:val="24"/>
                <w:szCs w:val="24"/>
              </w:rPr>
              <w:t xml:space="preserve">序号</w:t>
            </w:r>
            <w:r/>
          </w:p>
        </w:tc>
        <w:tc>
          <w:tcPr>
            <w:tcBorders>
              <w:top w:val="single" w:color="000000" w:sz="2" w:space="0"/>
              <w:bottom w:val="single" w:color="000000" w:sz="2" w:space="0"/>
            </w:tcBorders>
            <w:tcW w:w="1179" w:type="dxa"/>
            <w:textDirection w:val="lrTb"/>
            <w:noWrap w:val="false"/>
          </w:tcPr>
          <w:p>
            <w:pPr>
              <w:jc w:val="center"/>
              <w:keepLines w:val="0"/>
              <w:keepNext w:val="0"/>
              <w:pageBreakBefore w:val="0"/>
              <w:spacing w:line="264" w:lineRule="auto"/>
              <w:widowControl w:val="off"/>
              <w:rPr>
                <w:rFonts w:hint="eastAsia" w:ascii="宋体" w:hAnsi="宋体" w:eastAsia="宋体" w:cs="宋体"/>
                <w:b/>
                <w:bCs/>
                <w:spacing w:val="-2"/>
                <w:sz w:val="24"/>
                <w:szCs w:val="24"/>
              </w:rPr>
            </w:pPr>
            <w:r>
              <w:rPr>
                <w:rFonts w:hint="eastAsia" w:ascii="宋体" w:hAnsi="宋体" w:eastAsia="宋体" w:cs="宋体"/>
                <w:b/>
                <w:bCs/>
                <w:spacing w:val="-2"/>
                <w:sz w:val="24"/>
                <w:szCs w:val="24"/>
              </w:rPr>
              <w:t xml:space="preserve">评审因素</w:t>
            </w:r>
            <w:r/>
          </w:p>
        </w:tc>
        <w:tc>
          <w:tcPr>
            <w:tcBorders>
              <w:top w:val="single" w:color="000000" w:sz="2" w:space="0"/>
              <w:bottom w:val="single" w:color="000000" w:sz="2" w:space="0"/>
            </w:tcBorders>
            <w:tcW w:w="6783" w:type="dxa"/>
            <w:textDirection w:val="lrTb"/>
            <w:noWrap w:val="false"/>
          </w:tcPr>
          <w:p>
            <w:pPr>
              <w:jc w:val="center"/>
              <w:keepLines w:val="0"/>
              <w:keepNext w:val="0"/>
              <w:pageBreakBefore w:val="0"/>
              <w:spacing w:line="264" w:lineRule="auto"/>
              <w:widowControl w:val="off"/>
              <w:rPr>
                <w:rFonts w:hint="eastAsia" w:ascii="宋体" w:hAnsi="宋体" w:eastAsia="宋体" w:cs="宋体"/>
                <w:b/>
                <w:bCs/>
                <w:spacing w:val="-2"/>
                <w:sz w:val="24"/>
                <w:szCs w:val="24"/>
              </w:rPr>
            </w:pPr>
            <w:r>
              <w:rPr>
                <w:rFonts w:hint="eastAsia" w:ascii="宋体" w:hAnsi="宋体" w:eastAsia="宋体" w:cs="宋体"/>
                <w:b/>
                <w:bCs/>
                <w:spacing w:val="-2"/>
                <w:sz w:val="24"/>
                <w:szCs w:val="24"/>
              </w:rPr>
              <w:t xml:space="preserve">评审细则</w:t>
            </w:r>
            <w:r/>
          </w:p>
        </w:tc>
        <w:tc>
          <w:tcPr>
            <w:tcBorders>
              <w:top w:val="single" w:color="000000" w:sz="2" w:space="0"/>
              <w:bottom w:val="single" w:color="000000" w:sz="2" w:space="0"/>
            </w:tcBorders>
            <w:tcW w:w="567" w:type="dxa"/>
            <w:textDirection w:val="lrTb"/>
            <w:noWrap w:val="false"/>
          </w:tcPr>
          <w:p>
            <w:pPr>
              <w:jc w:val="center"/>
              <w:keepLines w:val="0"/>
              <w:keepNext w:val="0"/>
              <w:pageBreakBefore w:val="0"/>
              <w:spacing w:line="264" w:lineRule="auto"/>
              <w:widowControl w:val="off"/>
              <w:rPr>
                <w:rFonts w:hint="eastAsia" w:ascii="宋体" w:hAnsi="宋体" w:eastAsia="宋体" w:cs="宋体"/>
                <w:b/>
                <w:bCs/>
                <w:spacing w:val="-2"/>
                <w:sz w:val="24"/>
                <w:szCs w:val="24"/>
              </w:rPr>
            </w:pPr>
            <w:r>
              <w:rPr>
                <w:rFonts w:hint="eastAsia" w:ascii="宋体" w:hAnsi="宋体" w:eastAsia="宋体" w:cs="宋体"/>
                <w:b/>
                <w:bCs/>
                <w:spacing w:val="-2"/>
                <w:sz w:val="24"/>
                <w:szCs w:val="24"/>
              </w:rPr>
              <w:t xml:space="preserve">分值</w:t>
            </w:r>
            <w:r/>
          </w:p>
        </w:tc>
        <w:tc>
          <w:tcPr>
            <w:tcBorders>
              <w:top w:val="single" w:color="000000" w:sz="2" w:space="0"/>
              <w:bottom w:val="single" w:color="000000" w:sz="2" w:space="0"/>
            </w:tcBorders>
            <w:tcW w:w="932" w:type="dxa"/>
            <w:textDirection w:val="lrTb"/>
            <w:noWrap w:val="false"/>
          </w:tcPr>
          <w:p>
            <w:pPr>
              <w:jc w:val="center"/>
              <w:keepLines w:val="0"/>
              <w:keepNext w:val="0"/>
              <w:pageBreakBefore w:val="0"/>
              <w:spacing w:line="264" w:lineRule="auto"/>
              <w:widowControl w:val="off"/>
              <w:rPr>
                <w:rFonts w:hint="eastAsia" w:ascii="宋体" w:hAnsi="宋体" w:eastAsia="宋体" w:cs="宋体"/>
                <w:b/>
                <w:bCs/>
                <w:spacing w:val="-2"/>
                <w:sz w:val="24"/>
                <w:szCs w:val="24"/>
              </w:rPr>
            </w:pPr>
            <w:r>
              <w:rPr>
                <w:rFonts w:hint="eastAsia" w:ascii="宋体" w:hAnsi="宋体" w:eastAsia="宋体" w:cs="宋体"/>
                <w:b/>
                <w:bCs/>
                <w:spacing w:val="-2"/>
                <w:sz w:val="24"/>
                <w:szCs w:val="24"/>
              </w:rPr>
              <w:t xml:space="preserve">类型</w:t>
            </w:r>
            <w:r/>
          </w:p>
        </w:tc>
      </w:tr>
      <w:tr>
        <w:trPr>
          <w:jc w:val="center"/>
          <w:trHeight w:val="460"/>
        </w:trPr>
        <w:tc>
          <w:tcPr>
            <w:gridSpan w:val="5"/>
            <w:tcBorders>
              <w:top w:val="single" w:color="000000" w:sz="2" w:space="0"/>
              <w:bottom w:val="single" w:color="000000" w:sz="2" w:space="0"/>
            </w:tcBorders>
            <w:tcW w:w="9980" w:type="dxa"/>
            <w:textDirection w:val="lrTb"/>
            <w:noWrap w:val="false"/>
          </w:tcPr>
          <w:p>
            <w:pP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b/>
                <w:bCs/>
                <w:spacing w:val="-3"/>
                <w:sz w:val="24"/>
                <w:szCs w:val="24"/>
              </w:rPr>
              <w:t xml:space="preserve">1.价</w:t>
            </w:r>
            <w:r>
              <w:rPr>
                <w:rFonts w:hint="eastAsia" w:ascii="宋体" w:hAnsi="宋体" w:eastAsia="宋体" w:cs="宋体"/>
                <w:b/>
                <w:bCs/>
                <w:spacing w:val="-2"/>
                <w:sz w:val="24"/>
                <w:szCs w:val="24"/>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1</w:t>
            </w:r>
            <w:r>
              <w:rPr>
                <w:rFonts w:hint="eastAsia" w:ascii="宋体" w:hAnsi="宋体" w:eastAsia="宋体" w:cs="宋体"/>
                <w:spacing w:val="-5"/>
                <w:sz w:val="24"/>
                <w:szCs w:val="24"/>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价格分</w:t>
            </w:r>
            <w:r/>
          </w:p>
        </w:tc>
        <w:tc>
          <w:tcPr>
            <w:tcBorders>
              <w:top w:val="single" w:color="000000" w:sz="2" w:space="0"/>
              <w:bottom w:val="single" w:color="000000" w:sz="2" w:space="0"/>
            </w:tcBorders>
            <w:tcW w:w="6783"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Borders>
              <w:top w:val="single" w:color="000000" w:sz="2" w:space="0"/>
              <w:bottom w:val="single" w:color="000000" w:sz="2" w:space="0"/>
            </w:tcBorders>
            <w:tcW w:w="56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p>
        </w:tc>
        <w:tc>
          <w:tcPr>
            <w:tcBorders>
              <w:top w:val="single" w:color="000000" w:sz="2" w:space="0"/>
              <w:bottom w:val="single" w:color="000000" w:sz="2" w:space="0"/>
            </w:tcBorders>
            <w:tcW w:w="93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价格分</w:t>
            </w:r>
            <w:r/>
          </w:p>
        </w:tc>
      </w:tr>
      <w:tr>
        <w:trPr>
          <w:jc w:val="center"/>
          <w:trHeight w:val="460"/>
        </w:trPr>
        <w:tc>
          <w:tcPr>
            <w:gridSpan w:val="5"/>
            <w:tcBorders>
              <w:top w:val="single" w:color="000000" w:sz="2" w:space="0"/>
              <w:bottom w:val="single" w:color="000000" w:sz="2" w:space="0"/>
            </w:tcBorders>
            <w:tcW w:w="9980" w:type="dxa"/>
            <w:textDirection w:val="lrTb"/>
            <w:noWrap w:val="false"/>
          </w:tcPr>
          <w:p>
            <w:pP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b/>
                <w:bCs/>
                <w:spacing w:val="-3"/>
                <w:sz w:val="24"/>
                <w:szCs w:val="24"/>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pacing w:val="-2"/>
                <w:sz w:val="24"/>
                <w:szCs w:val="24"/>
              </w:rPr>
            </w:pPr>
            <w:r>
              <w:rPr>
                <w:rFonts w:hint="eastAsia" w:ascii="宋体" w:hAnsi="宋体" w:eastAsia="宋体" w:cs="宋体"/>
                <w:sz w:val="24"/>
                <w:szCs w:val="24"/>
              </w:rPr>
              <w:t xml:space="preserve">产品技术参数</w:t>
            </w:r>
            <w:r/>
          </w:p>
        </w:tc>
        <w:tc>
          <w:tcPr>
            <w:tcBorders>
              <w:top w:val="single" w:color="000000" w:sz="2" w:space="0"/>
              <w:bottom w:val="single" w:color="000000" w:sz="2" w:space="0"/>
            </w:tcBorders>
            <w:tcW w:w="6783" w:type="dxa"/>
            <w:vAlign w:val="center"/>
            <w:textDirection w:val="lrTb"/>
            <w:noWrap w:val="false"/>
          </w:tcPr>
          <w:p>
            <w:pPr>
              <w:keepLines w:val="0"/>
              <w:keepNext w:val="0"/>
              <w:pageBreakBefore w:val="0"/>
              <w:spacing w:line="264"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产品技术参数全部满足招标要求的得满分，打★指标为必须满足项，如有负偏离将作为无效投标，打▲指标为重要指标，有1项负偏离扣</w:t>
            </w:r>
            <w:r>
              <w:rPr>
                <w:rFonts w:hint="eastAsia" w:ascii="宋体" w:hAnsi="宋体" w:cs="宋体"/>
                <w:sz w:val="24"/>
                <w:szCs w:val="24"/>
                <w:lang w:val="en-US" w:eastAsia="zh-CN"/>
              </w:rPr>
              <w:t xml:space="preserve">3</w:t>
            </w:r>
            <w:r>
              <w:rPr>
                <w:rFonts w:hint="eastAsia" w:ascii="宋体" w:hAnsi="宋体" w:eastAsia="宋体" w:cs="宋体"/>
                <w:sz w:val="24"/>
                <w:szCs w:val="24"/>
                <w:lang w:val="zh-CN"/>
              </w:rPr>
              <w:t xml:space="preserve">分，其余指标有1项负偏离扣</w:t>
            </w:r>
            <w:r>
              <w:rPr>
                <w:rFonts w:hint="eastAsia" w:ascii="宋体" w:hAnsi="宋体" w:eastAsia="宋体" w:cs="宋体"/>
                <w:sz w:val="24"/>
                <w:szCs w:val="24"/>
                <w:lang w:val="en-US" w:eastAsia="zh-CN"/>
              </w:rPr>
              <w:t xml:space="preserve">0.</w:t>
            </w:r>
            <w:r>
              <w:rPr>
                <w:rFonts w:hint="eastAsia" w:ascii="宋体" w:hAnsi="宋体" w:cs="宋体"/>
                <w:sz w:val="24"/>
                <w:szCs w:val="24"/>
                <w:lang w:val="en-US" w:eastAsia="zh-CN"/>
              </w:rPr>
              <w:t xml:space="preserve">1</w:t>
            </w:r>
            <w:r>
              <w:rPr>
                <w:rFonts w:hint="eastAsia" w:ascii="宋体" w:hAnsi="宋体" w:eastAsia="宋体" w:cs="宋体"/>
                <w:sz w:val="24"/>
                <w:szCs w:val="24"/>
                <w:lang w:val="zh-CN"/>
              </w:rPr>
              <w:t xml:space="preserve">分，扣完为止。</w:t>
            </w:r>
            <w:r/>
          </w:p>
        </w:tc>
        <w:tc>
          <w:tcPr>
            <w:tcBorders>
              <w:top w:val="single" w:color="000000" w:sz="2" w:space="0"/>
              <w:bottom w:val="single" w:color="000000" w:sz="2" w:space="0"/>
            </w:tcBorders>
            <w:tcW w:w="56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p>
        </w:tc>
        <w:tc>
          <w:tcPr>
            <w:tcBorders>
              <w:top w:val="single" w:color="000000" w:sz="2" w:space="0"/>
              <w:bottom w:val="single" w:color="000000" w:sz="2" w:space="0"/>
            </w:tcBorders>
            <w:tcW w:w="93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客</w:t>
            </w:r>
            <w:r>
              <w:rPr>
                <w:rFonts w:hint="eastAsia" w:ascii="宋体" w:hAnsi="宋体" w:eastAsia="宋体" w:cs="宋体"/>
                <w:spacing w:val="-4"/>
                <w:sz w:val="24"/>
                <w:szCs w:val="24"/>
              </w:rPr>
              <w:t xml:space="preserve">观分</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rPr>
              <w:t xml:space="preserve">2.2</w:t>
            </w:r>
            <w:r/>
          </w:p>
        </w:tc>
        <w:tc>
          <w:tcPr>
            <w:tcBorders>
              <w:top w:val="single" w:color="000000" w:sz="2" w:space="0"/>
              <w:bottom w:val="single" w:color="000000" w:sz="2" w:space="0"/>
            </w:tcBorders>
            <w:tcW w:w="1179"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0000ff"/>
                <w:sz w:val="24"/>
                <w:szCs w:val="24"/>
                <w:lang w:val="en-US" w:eastAsia="zh-CN" w:bidi="ar-SA"/>
              </w:rPr>
            </w:pPr>
            <w:r>
              <w:rPr>
                <w:rFonts w:hint="eastAsia" w:ascii="宋体" w:hAnsi="宋体" w:eastAsia="宋体" w:cs="宋体"/>
                <w:sz w:val="24"/>
                <w:szCs w:val="24"/>
              </w:rPr>
              <w:t xml:space="preserve">需求理解</w:t>
            </w:r>
            <w:r/>
          </w:p>
        </w:tc>
        <w:tc>
          <w:tcPr>
            <w:tcBorders>
              <w:top w:val="single" w:color="000000" w:sz="2" w:space="0"/>
              <w:bottom w:val="single" w:color="000000" w:sz="2" w:space="0"/>
            </w:tcBorders>
            <w:tcW w:w="6783" w:type="dxa"/>
            <w:vAlign w:val="center"/>
            <w:textDirection w:val="lrTb"/>
            <w:noWrap w:val="false"/>
          </w:tcPr>
          <w:p>
            <w:pPr>
              <w:keepLines w:val="0"/>
              <w:keepNext w:val="0"/>
              <w:pageBreakBefore w:val="0"/>
              <w:spacing w:line="264"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评委根据投标人提供的需求理解</w:t>
            </w:r>
            <w:r>
              <w:rPr>
                <w:rFonts w:hint="eastAsia" w:ascii="宋体" w:hAnsi="宋体" w:eastAsia="宋体" w:cs="宋体"/>
                <w:sz w:val="24"/>
                <w:szCs w:val="24"/>
                <w:lang w:val="en-US" w:eastAsia="zh-CN"/>
              </w:rPr>
              <w:t xml:space="preserve">材料</w:t>
            </w:r>
            <w:r>
              <w:rPr>
                <w:rFonts w:hint="eastAsia" w:ascii="宋体" w:hAnsi="宋体" w:eastAsia="宋体" w:cs="宋体"/>
                <w:sz w:val="24"/>
                <w:szCs w:val="24"/>
                <w:lang w:val="zh-CN"/>
              </w:rPr>
              <w:t xml:space="preserve">综合评分。包括：1.重点难点分析；2.服务目标；3.建设需求。</w:t>
            </w:r>
            <w:r>
              <w:rPr>
                <w:rFonts w:hint="eastAsia" w:ascii="宋体" w:hAnsi="宋体" w:eastAsia="宋体" w:cs="宋体"/>
                <w:sz w:val="24"/>
                <w:szCs w:val="24"/>
                <w:lang w:val="en-US" w:eastAsia="zh-CN"/>
              </w:rPr>
              <w:t xml:space="preserve">以上</w:t>
            </w:r>
            <w:r>
              <w:rPr>
                <w:rFonts w:hint="eastAsia" w:ascii="宋体" w:hAnsi="宋体" w:eastAsia="宋体" w:cs="宋体"/>
                <w:sz w:val="24"/>
                <w:szCs w:val="24"/>
                <w:lang w:val="zh-CN"/>
              </w:rPr>
              <w:t xml:space="preserve">每项内容逐条阐述。</w:t>
            </w:r>
            <w:r/>
          </w:p>
          <w:p>
            <w:pPr>
              <w:keepLines w:val="0"/>
              <w:keepNext w:val="0"/>
              <w:pageBreakBefore w:val="0"/>
              <w:spacing w:line="264"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（1）上述每项需求理解完整深刻、针对性强、紧贴采购需求的，得2分； </w:t>
            </w:r>
            <w:r/>
          </w:p>
          <w:p>
            <w:pPr>
              <w:keepLines w:val="0"/>
              <w:keepNext w:val="0"/>
              <w:pageBreakBefore w:val="0"/>
              <w:spacing w:line="264"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（2）上述每项需求理解基本完整、具有一定针对性、基本符合采购需求的，得1分； </w:t>
            </w:r>
            <w:r/>
          </w:p>
          <w:p>
            <w:pPr>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zh-CN"/>
              </w:rPr>
              <w:t xml:space="preserve">（3）上述每项需求理解不符合采购需求或未提供需求理解材料的，不得分。</w:t>
            </w:r>
            <w:r/>
          </w:p>
        </w:tc>
        <w:tc>
          <w:tcPr>
            <w:tcBorders>
              <w:top w:val="single" w:color="000000" w:sz="2" w:space="0"/>
              <w:bottom w:val="single" w:color="000000" w:sz="2" w:space="0"/>
            </w:tcBorders>
            <w:tcW w:w="56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6</w:t>
            </w:r>
            <w:r/>
          </w:p>
        </w:tc>
        <w:tc>
          <w:tcPr>
            <w:tcBorders>
              <w:top w:val="single" w:color="000000" w:sz="2" w:space="0"/>
              <w:bottom w:val="single" w:color="000000" w:sz="2" w:space="0"/>
            </w:tcBorders>
            <w:tcW w:w="93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4"/>
                <w:sz w:val="24"/>
                <w:szCs w:val="24"/>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2.3</w:t>
            </w:r>
            <w:r/>
          </w:p>
        </w:tc>
        <w:tc>
          <w:tcPr>
            <w:tcBorders>
              <w:top w:val="single" w:color="000000" w:sz="2" w:space="0"/>
              <w:bottom w:val="single" w:color="000000" w:sz="2" w:space="0"/>
            </w:tcBorders>
            <w:tcW w:w="1179" w:type="dxa"/>
            <w:vAlign w:val="center"/>
            <w:textDirection w:val="lrTb"/>
            <w:noWrap w:val="false"/>
          </w:tcPr>
          <w:p>
            <w:pPr>
              <w:keepLines w:val="0"/>
              <w:keepNext w:val="0"/>
              <w:pageBreakBefore w:val="0"/>
              <w:spacing w:line="264" w:lineRule="auto"/>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技术方案</w:t>
            </w:r>
            <w:r/>
          </w:p>
        </w:tc>
        <w:tc>
          <w:tcPr>
            <w:tcBorders>
              <w:top w:val="single" w:color="000000" w:sz="2" w:space="0"/>
              <w:bottom w:val="single" w:color="000000" w:sz="2" w:space="0"/>
            </w:tcBorders>
            <w:tcW w:w="6783" w:type="dxa"/>
            <w:vAlign w:val="center"/>
            <w:textDirection w:val="lrTb"/>
            <w:noWrap w:val="false"/>
          </w:tcPr>
          <w:p>
            <w:pPr>
              <w:keepLines w:val="0"/>
              <w:keepNext w:val="0"/>
              <w:pageBreakBefore w:val="0"/>
              <w:spacing w:line="264" w:lineRule="auto"/>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rPr>
              <w:t xml:space="preserve">评委根据投标人提供的技术方案综合评分</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zh-CN"/>
              </w:rPr>
              <w:t xml:space="preserve">包括：</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技术选型；</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关键技术应用；</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数据安全保障</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以上</w:t>
            </w:r>
            <w:r>
              <w:rPr>
                <w:rFonts w:hint="eastAsia" w:ascii="宋体" w:hAnsi="宋体" w:eastAsia="宋体" w:cs="宋体"/>
                <w:sz w:val="24"/>
                <w:szCs w:val="24"/>
                <w:lang w:val="zh-CN"/>
              </w:rPr>
              <w:t xml:space="preserve">每项内容逐条阐述。</w:t>
            </w:r>
            <w:r/>
          </w:p>
          <w:p>
            <w:pPr>
              <w:keepLines w:val="0"/>
              <w:keepNext w:val="0"/>
              <w:pageBreakBefore w:val="0"/>
              <w:spacing w:line="264"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（1）上述每项内容设计思路科学、前瞻性、可行性强、紧贴采购需求的，得3分； </w:t>
            </w:r>
            <w:r/>
          </w:p>
          <w:p>
            <w:pPr>
              <w:keepLines w:val="0"/>
              <w:keepNext w:val="0"/>
              <w:pageBreakBefore w:val="0"/>
              <w:spacing w:line="264"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（2）上述每项内容设计思路较科学、前瞻性、可行性较强、能够满足采购需求的，得2分； </w:t>
            </w:r>
            <w:r/>
          </w:p>
          <w:p>
            <w:pPr>
              <w:keepLines w:val="0"/>
              <w:keepNext w:val="0"/>
              <w:pageBreakBefore w:val="0"/>
              <w:spacing w:line="264"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（3）上述每项内容设计思路基本满足采购需求、具有一定可行性的，得1分； </w:t>
            </w:r>
            <w:r/>
          </w:p>
          <w:p>
            <w:pPr>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zh-CN"/>
              </w:rPr>
              <w:t xml:space="preserve">（4）上述每项内容设计思路不能满足采购需求或未提供方案的不得分。</w:t>
            </w:r>
            <w:r/>
          </w:p>
        </w:tc>
        <w:tc>
          <w:tcPr>
            <w:tcBorders>
              <w:top w:val="single" w:color="000000" w:sz="2" w:space="0"/>
              <w:bottom w:val="single" w:color="000000" w:sz="2" w:space="0"/>
            </w:tcBorders>
            <w:tcW w:w="56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9</w:t>
            </w:r>
            <w:r/>
          </w:p>
        </w:tc>
        <w:tc>
          <w:tcPr>
            <w:tcBorders>
              <w:top w:val="single" w:color="000000" w:sz="2" w:space="0"/>
              <w:bottom w:val="single" w:color="000000" w:sz="2" w:space="0"/>
            </w:tcBorders>
            <w:tcW w:w="93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 w:val="24"/>
                <w:szCs w:val="24"/>
                <w:lang w:val="en-US" w:eastAsia="zh-CN" w:bidi="ar-SA"/>
              </w:rPr>
            </w:pPr>
            <w:r>
              <w:rPr>
                <w:rFonts w:hint="eastAsia" w:ascii="宋体" w:hAnsi="宋体" w:eastAsia="宋体" w:cs="宋体"/>
                <w:spacing w:val="-6"/>
                <w:sz w:val="24"/>
                <w:szCs w:val="24"/>
                <w:lang w:val="en-US" w:eastAsia="zh-CN" w:bidi="ar-SA"/>
              </w:rPr>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rPr>
              <w:t xml:space="preserve">2.4</w:t>
            </w:r>
            <w:r/>
          </w:p>
        </w:tc>
        <w:tc>
          <w:tcPr>
            <w:tcBorders>
              <w:top w:val="single" w:color="000000" w:sz="2" w:space="0"/>
              <w:bottom w:val="single" w:color="000000" w:sz="2" w:space="0"/>
            </w:tcBorders>
            <w:tcW w:w="1179"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0000ff"/>
                <w:sz w:val="24"/>
                <w:szCs w:val="24"/>
              </w:rPr>
            </w:pPr>
            <w:r>
              <w:rPr>
                <w:rFonts w:hint="eastAsia" w:ascii="宋体" w:hAnsi="宋体" w:eastAsia="宋体" w:cs="宋体"/>
                <w:sz w:val="24"/>
                <w:szCs w:val="24"/>
              </w:rPr>
              <w:t xml:space="preserve">实施方案</w:t>
            </w:r>
            <w:r/>
          </w:p>
        </w:tc>
        <w:tc>
          <w:tcPr>
            <w:tcBorders>
              <w:top w:val="single" w:color="000000" w:sz="2" w:space="0"/>
              <w:bottom w:val="single" w:color="000000" w:sz="2" w:space="0"/>
            </w:tcBorders>
            <w:tcW w:w="6783" w:type="dxa"/>
            <w:vAlign w:val="center"/>
            <w:textDirection w:val="lrTb"/>
            <w:noWrap w:val="false"/>
          </w:tcPr>
          <w:p>
            <w:pPr>
              <w:keepLines w:val="0"/>
              <w:keepNext w:val="0"/>
              <w:pageBreakBefore w:val="0"/>
              <w:spacing w:line="264"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评委根据投标人提供的实施方案综合评分。包括：</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实施计划；</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测试方案；</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试运行方案</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以上</w:t>
            </w:r>
            <w:r>
              <w:rPr>
                <w:rFonts w:hint="eastAsia" w:ascii="宋体" w:hAnsi="宋体" w:eastAsia="宋体" w:cs="宋体"/>
                <w:sz w:val="24"/>
                <w:szCs w:val="24"/>
                <w:lang w:val="zh-CN"/>
              </w:rPr>
              <w:t xml:space="preserve">每项内容逐条阐述。</w:t>
            </w:r>
            <w:r/>
          </w:p>
          <w:p>
            <w:pPr>
              <w:keepLines w:val="0"/>
              <w:keepNext w:val="0"/>
              <w:pageBreakBefore w:val="0"/>
              <w:spacing w:line="264"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（1）上述每项内容完整深刻、可行性强、紧贴采购需求的，得2分； </w:t>
            </w:r>
            <w:r/>
          </w:p>
          <w:p>
            <w:pPr>
              <w:keepLines w:val="0"/>
              <w:keepNext w:val="0"/>
              <w:pageBreakBefore w:val="0"/>
              <w:spacing w:line="264"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（2）上述每项内容较为完整深刻、可行性较强、能够满足采购需求的，得1分； </w:t>
            </w:r>
            <w:r/>
          </w:p>
          <w:p>
            <w:pPr>
              <w:keepLines w:val="0"/>
              <w:keepNext w:val="0"/>
              <w:pageBreakBefore w:val="0"/>
              <w:spacing w:line="264"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（3）上述每项内容基本完整、具有一定可行性、基本符合采购需求的，得0.5分； </w:t>
            </w:r>
            <w:r/>
          </w:p>
          <w:p>
            <w:pPr>
              <w:keepLines w:val="0"/>
              <w:keepNext w:val="0"/>
              <w:pageBreakBefore w:val="0"/>
              <w:spacing w:line="264" w:lineRule="auto"/>
              <w:widowControl w:val="off"/>
              <w:rPr>
                <w:rFonts w:hint="eastAsia" w:ascii="宋体" w:hAnsi="宋体" w:eastAsia="宋体" w:cs="宋体"/>
                <w:sz w:val="24"/>
                <w:szCs w:val="24"/>
                <w:lang w:val="en-US"/>
              </w:rPr>
            </w:pPr>
            <w:r>
              <w:rPr>
                <w:rFonts w:hint="eastAsia" w:ascii="宋体" w:hAnsi="宋体" w:eastAsia="宋体" w:cs="宋体"/>
                <w:sz w:val="24"/>
                <w:szCs w:val="24"/>
                <w:lang w:val="zh-CN"/>
              </w:rPr>
              <w:t xml:space="preserve">（4）上述每项内容不合理可行或未提供方案的不得分。</w:t>
            </w:r>
            <w:r/>
          </w:p>
        </w:tc>
        <w:tc>
          <w:tcPr>
            <w:tcBorders>
              <w:top w:val="single" w:color="000000" w:sz="2" w:space="0"/>
              <w:bottom w:val="single" w:color="000000" w:sz="2" w:space="0"/>
            </w:tcBorders>
            <w:tcW w:w="56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2" w:space="0"/>
              <w:bottom w:val="single" w:color="000000" w:sz="2" w:space="0"/>
            </w:tcBorders>
            <w:tcW w:w="93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pacing w:val="-6"/>
                <w:sz w:val="24"/>
                <w:szCs w:val="24"/>
              </w:rPr>
            </w:pPr>
            <w:r>
              <w:rPr>
                <w:rFonts w:hint="eastAsia" w:ascii="宋体" w:hAnsi="宋体" w:eastAsia="宋体" w:cs="宋体"/>
                <w:spacing w:val="-4"/>
                <w:sz w:val="24"/>
                <w:szCs w:val="24"/>
              </w:rPr>
              <w:t xml:space="preserve">主观分</w:t>
            </w:r>
            <w:r/>
          </w:p>
        </w:tc>
      </w:tr>
      <w:tr>
        <w:trPr>
          <w:jc w:val="center"/>
          <w:trHeight w:val="472"/>
        </w:trPr>
        <w:tc>
          <w:tcPr>
            <w:gridSpan w:val="5"/>
            <w:tcBorders>
              <w:top w:val="single" w:color="000000" w:sz="2" w:space="0"/>
              <w:bottom w:val="single" w:color="000000" w:sz="2" w:space="0"/>
            </w:tcBorders>
            <w:tcW w:w="9980" w:type="dxa"/>
            <w:vAlign w:val="center"/>
            <w:textDirection w:val="lrTb"/>
            <w:noWrap w:val="false"/>
          </w:tcPr>
          <w:p>
            <w:pP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b/>
                <w:bCs/>
                <w:spacing w:val="-3"/>
                <w:sz w:val="24"/>
                <w:szCs w:val="24"/>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3.1</w:t>
            </w:r>
            <w:r/>
          </w:p>
        </w:tc>
        <w:tc>
          <w:tcPr>
            <w:tcBorders>
              <w:top w:val="single" w:color="000000" w:sz="2" w:space="0"/>
              <w:bottom w:val="single" w:color="000000" w:sz="2" w:space="0"/>
            </w:tcBorders>
            <w:tcW w:w="1179"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0000ff"/>
                <w:sz w:val="24"/>
                <w:szCs w:val="24"/>
              </w:rPr>
            </w:pPr>
            <w:r>
              <w:rPr>
                <w:rFonts w:hint="eastAsia" w:ascii="宋体" w:hAnsi="宋体" w:eastAsia="宋体" w:cs="宋体"/>
                <w:sz w:val="24"/>
                <w:szCs w:val="24"/>
              </w:rPr>
              <w:t xml:space="preserve">维保服务方案</w:t>
            </w:r>
            <w:r/>
          </w:p>
        </w:tc>
        <w:tc>
          <w:tcPr>
            <w:tcBorders>
              <w:top w:val="single" w:color="000000" w:sz="2" w:space="0"/>
              <w:bottom w:val="single" w:color="000000" w:sz="2" w:space="0"/>
            </w:tcBorders>
            <w:tcW w:w="6783" w:type="dxa"/>
            <w:vAlign w:val="center"/>
            <w:textDirection w:val="lrTb"/>
            <w:noWrap w:val="false"/>
          </w:tcPr>
          <w:p>
            <w:pPr>
              <w:keepLines w:val="0"/>
              <w:keepNext w:val="0"/>
              <w:pageBreakBefore w:val="0"/>
              <w:spacing w:line="264"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评委根据投标人提供的</w:t>
            </w:r>
            <w:r>
              <w:rPr>
                <w:rFonts w:hint="eastAsia" w:ascii="宋体" w:hAnsi="宋体" w:eastAsia="宋体" w:cs="宋体"/>
                <w:sz w:val="24"/>
                <w:szCs w:val="24"/>
              </w:rPr>
              <w:t xml:space="preserve">维保服务方案</w:t>
            </w:r>
            <w:r>
              <w:rPr>
                <w:rFonts w:hint="eastAsia" w:ascii="宋体" w:hAnsi="宋体" w:eastAsia="宋体" w:cs="宋体"/>
                <w:sz w:val="24"/>
                <w:szCs w:val="24"/>
                <w:lang w:val="zh-CN"/>
              </w:rPr>
              <w:t xml:space="preserve">综合评分。包括：1.技术支持；2.保障措施；3.服务流程。</w:t>
            </w:r>
            <w:r>
              <w:rPr>
                <w:rFonts w:hint="eastAsia" w:ascii="宋体" w:hAnsi="宋体" w:eastAsia="宋体" w:cs="宋体"/>
                <w:sz w:val="24"/>
                <w:szCs w:val="24"/>
                <w:lang w:val="en-US" w:eastAsia="zh-CN"/>
              </w:rPr>
              <w:t xml:space="preserve">以上</w:t>
            </w:r>
            <w:r>
              <w:rPr>
                <w:rFonts w:hint="eastAsia" w:ascii="宋体" w:hAnsi="宋体" w:eastAsia="宋体" w:cs="宋体"/>
                <w:sz w:val="24"/>
                <w:szCs w:val="24"/>
                <w:lang w:val="zh-CN"/>
              </w:rPr>
              <w:t xml:space="preserve">每项内容逐条阐述。</w:t>
            </w:r>
            <w:r/>
          </w:p>
          <w:p>
            <w:pPr>
              <w:keepLines w:val="0"/>
              <w:keepNext w:val="0"/>
              <w:pageBreakBefore w:val="0"/>
              <w:spacing w:line="264"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（1）上述每项内容全面合理、针对性及操作性强的，得2分；</w:t>
            </w:r>
            <w:r/>
          </w:p>
          <w:p>
            <w:pPr>
              <w:keepLines w:val="0"/>
              <w:keepNext w:val="0"/>
              <w:pageBreakBefore w:val="0"/>
              <w:spacing w:line="264"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（2）上述每项内容基本合理、具备一定的针对性及操作性，得</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分；</w:t>
            </w:r>
            <w:r/>
          </w:p>
          <w:p>
            <w:pP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）上述每项内容不合理、缺乏针对性及操作性或未提供方案的不得分。</w:t>
            </w:r>
            <w:r/>
          </w:p>
        </w:tc>
        <w:tc>
          <w:tcPr>
            <w:tcBorders>
              <w:top w:val="single" w:color="000000" w:sz="2" w:space="0"/>
              <w:bottom w:val="single" w:color="000000" w:sz="2" w:space="0"/>
            </w:tcBorders>
            <w:tcW w:w="56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2" w:space="0"/>
              <w:bottom w:val="single" w:color="000000" w:sz="2" w:space="0"/>
            </w:tcBorders>
            <w:tcW w:w="93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3.2</w:t>
            </w:r>
            <w:r/>
          </w:p>
        </w:tc>
        <w:tc>
          <w:tcPr>
            <w:tcBorders>
              <w:top w:val="single" w:color="000000" w:sz="2" w:space="0"/>
              <w:bottom w:val="single" w:color="000000" w:sz="2" w:space="0"/>
            </w:tcBorders>
            <w:tcW w:w="1179"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0000ff"/>
                <w:sz w:val="24"/>
                <w:szCs w:val="24"/>
              </w:rPr>
            </w:pPr>
            <w:r>
              <w:rPr>
                <w:rFonts w:hint="eastAsia" w:ascii="宋体" w:hAnsi="宋体" w:eastAsia="宋体" w:cs="宋体"/>
                <w:sz w:val="24"/>
                <w:szCs w:val="24"/>
              </w:rPr>
              <w:t xml:space="preserve">培训方案</w:t>
            </w:r>
            <w:r/>
          </w:p>
        </w:tc>
        <w:tc>
          <w:tcPr>
            <w:tcBorders>
              <w:top w:val="single" w:color="000000" w:sz="2" w:space="0"/>
              <w:bottom w:val="single" w:color="000000" w:sz="2" w:space="0"/>
            </w:tcBorders>
            <w:tcW w:w="6783" w:type="dxa"/>
            <w:vAlign w:val="center"/>
            <w:textDirection w:val="lrTb"/>
            <w:noWrap w:val="false"/>
          </w:tcPr>
          <w:p>
            <w:pPr>
              <w:keepLines w:val="0"/>
              <w:keepNext w:val="0"/>
              <w:pageBreakBefore w:val="0"/>
              <w:spacing w:line="264"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评委根据投标人提供的培训方案综合评分。包括：1.培训内容；2.培训方式；3.培训师资。</w:t>
            </w:r>
            <w:r>
              <w:rPr>
                <w:rFonts w:hint="eastAsia" w:ascii="宋体" w:hAnsi="宋体" w:eastAsia="宋体" w:cs="宋体"/>
                <w:sz w:val="24"/>
                <w:szCs w:val="24"/>
                <w:lang w:val="en-US" w:eastAsia="zh-CN"/>
              </w:rPr>
              <w:t xml:space="preserve">以上</w:t>
            </w:r>
            <w:r>
              <w:rPr>
                <w:rFonts w:hint="eastAsia" w:ascii="宋体" w:hAnsi="宋体" w:eastAsia="宋体" w:cs="宋体"/>
                <w:sz w:val="24"/>
                <w:szCs w:val="24"/>
                <w:lang w:val="zh-CN"/>
              </w:rPr>
              <w:t xml:space="preserve">每项内容逐条阐述。</w:t>
            </w:r>
            <w:r/>
          </w:p>
          <w:p>
            <w:pPr>
              <w:keepLines w:val="0"/>
              <w:keepNext w:val="0"/>
              <w:pageBreakBefore w:val="0"/>
              <w:spacing w:line="264"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（1）上述每项内容全面合理、针对性及操作性强的，得2分；</w:t>
            </w:r>
            <w:r/>
          </w:p>
          <w:p>
            <w:pPr>
              <w:keepLines w:val="0"/>
              <w:keepNext w:val="0"/>
              <w:pageBreakBefore w:val="0"/>
              <w:spacing w:line="264"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（2）上述每项内容基本合理、具备一定的针对性及操作性，得</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分；</w:t>
            </w:r>
            <w:r/>
          </w:p>
          <w:p>
            <w:pPr>
              <w:keepLines w:val="0"/>
              <w:keepNext w:val="0"/>
              <w:pageBreakBefore w:val="0"/>
              <w:spacing w:line="264" w:lineRule="auto"/>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）上述每项内容不合理、缺乏针对性及操作性或未提供方案的不得分。</w:t>
            </w:r>
            <w:r/>
          </w:p>
        </w:tc>
        <w:tc>
          <w:tcPr>
            <w:tcBorders>
              <w:top w:val="single" w:color="000000" w:sz="2" w:space="0"/>
              <w:bottom w:val="single" w:color="000000" w:sz="2" w:space="0"/>
            </w:tcBorders>
            <w:tcW w:w="56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2" w:space="0"/>
              <w:bottom w:val="single" w:color="000000" w:sz="2" w:space="0"/>
            </w:tcBorders>
            <w:tcW w:w="93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主观分</w:t>
            </w:r>
            <w:r/>
          </w:p>
        </w:tc>
      </w:tr>
      <w:tr>
        <w:trPr>
          <w:jc w:val="center"/>
          <w:trHeight w:val="455"/>
        </w:trPr>
        <w:tc>
          <w:tcPr>
            <w:gridSpan w:val="5"/>
            <w:tcBorders>
              <w:top w:val="single" w:color="000000" w:sz="2" w:space="0"/>
              <w:bottom w:val="single" w:color="000000" w:sz="2" w:space="0"/>
            </w:tcBorders>
            <w:tcW w:w="9980" w:type="dxa"/>
            <w:vAlign w:val="center"/>
            <w:textDirection w:val="lrTb"/>
            <w:noWrap w:val="false"/>
          </w:tcPr>
          <w:p>
            <w:pP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b/>
                <w:bCs/>
                <w:spacing w:val="-3"/>
                <w:sz w:val="24"/>
                <w:szCs w:val="24"/>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4.1</w:t>
            </w:r>
            <w:r/>
          </w:p>
        </w:tc>
        <w:tc>
          <w:tcPr>
            <w:tcBorders>
              <w:top w:val="single" w:color="000000" w:sz="2" w:space="0"/>
              <w:bottom w:val="single" w:color="000000" w:sz="2" w:space="0"/>
            </w:tcBorders>
            <w:tcW w:w="1179" w:type="dxa"/>
            <w:vAlign w:val="center"/>
            <w:textDirection w:val="lrTb"/>
            <w:noWrap w:val="false"/>
          </w:tcPr>
          <w:p>
            <w:pPr>
              <w:keepLines w:val="0"/>
              <w:keepNext w:val="0"/>
              <w:pageBreakBefore w:val="0"/>
              <w:spacing w:line="264" w:lineRule="auto"/>
              <w:widowControl w:val="off"/>
              <w:rPr>
                <w:rFonts w:hint="eastAsia" w:ascii="宋体" w:hAnsi="宋体" w:eastAsia="宋体" w:cs="宋体"/>
                <w:spacing w:val="-2"/>
                <w:sz w:val="24"/>
                <w:szCs w:val="24"/>
              </w:rPr>
            </w:pPr>
            <w:r>
              <w:rPr>
                <w:rFonts w:hint="eastAsia" w:ascii="宋体" w:hAnsi="宋体" w:eastAsia="宋体" w:cs="宋体"/>
                <w:spacing w:val="-1"/>
                <w:sz w:val="24"/>
                <w:szCs w:val="24"/>
              </w:rPr>
              <w:t xml:space="preserve">投标人业绩</w:t>
            </w:r>
            <w:r/>
          </w:p>
        </w:tc>
        <w:tc>
          <w:tcPr>
            <w:tcBorders>
              <w:top w:val="single" w:color="000000" w:sz="2" w:space="0"/>
              <w:bottom w:val="single" w:color="000000" w:sz="2" w:space="0"/>
            </w:tcBorders>
            <w:tcW w:w="6783" w:type="dxa"/>
            <w:vAlign w:val="center"/>
            <w:textDirection w:val="lrTb"/>
            <w:noWrap w:val="false"/>
          </w:tcPr>
          <w:p>
            <w:pPr>
              <w:keepLines w:val="0"/>
              <w:keepNext w:val="0"/>
              <w:pageBreakBefore w:val="0"/>
              <w:spacing w:line="264" w:lineRule="auto"/>
              <w:widowControl w:val="off"/>
              <w:rPr>
                <w:rFonts w:hint="eastAsia" w:ascii="宋体" w:hAnsi="宋体" w:eastAsia="宋体" w:cs="宋体"/>
                <w:sz w:val="24"/>
                <w:szCs w:val="24"/>
                <w:lang w:bidi="zh-CN"/>
              </w:rPr>
            </w:pPr>
            <w:r>
              <w:rPr>
                <w:rFonts w:hint="eastAsia" w:ascii="宋体" w:hAnsi="宋体" w:eastAsia="宋体" w:cs="宋体"/>
                <w:sz w:val="24"/>
                <w:szCs w:val="24"/>
              </w:rPr>
              <w:t xml:space="preserve">投标人提供2022年1月1日（含）以来类似项目业绩（至少包含</w:t>
            </w:r>
            <w:r>
              <w:rPr>
                <w:rFonts w:hint="eastAsia" w:ascii="宋体" w:hAnsi="宋体" w:eastAsia="宋体" w:cs="宋体"/>
                <w:sz w:val="24"/>
                <w:szCs w:val="24"/>
                <w:lang w:val="en-US" w:eastAsia="zh-CN"/>
              </w:rPr>
              <w:t xml:space="preserve">教学管理系统</w:t>
            </w:r>
            <w:r>
              <w:rPr>
                <w:rFonts w:hint="eastAsia" w:ascii="宋体" w:hAnsi="宋体" w:eastAsia="宋体" w:cs="宋体"/>
                <w:sz w:val="24"/>
                <w:szCs w:val="24"/>
              </w:rPr>
              <w:t xml:space="preserve">），每提供1个得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最多得6分</w:t>
            </w:r>
            <w:r>
              <w:rPr>
                <w:rFonts w:hint="eastAsia" w:ascii="宋体" w:hAnsi="宋体" w:eastAsia="宋体" w:cs="宋体"/>
                <w:sz w:val="24"/>
                <w:szCs w:val="24"/>
              </w:rPr>
              <w:t xml:space="preserve">。（时间以合同签订时间为准，提供有效合同，合同页须清晰可见相应内容）</w:t>
            </w:r>
            <w:r/>
          </w:p>
        </w:tc>
        <w:tc>
          <w:tcPr>
            <w:tcBorders>
              <w:top w:val="single" w:color="000000" w:sz="2" w:space="0"/>
              <w:bottom w:val="single" w:color="000000" w:sz="2" w:space="0"/>
            </w:tcBorders>
            <w:tcW w:w="56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p>
        </w:tc>
        <w:tc>
          <w:tcPr>
            <w:tcBorders>
              <w:top w:val="single" w:color="000000" w:sz="2" w:space="0"/>
              <w:bottom w:val="single" w:color="000000" w:sz="2" w:space="0"/>
            </w:tcBorders>
            <w:tcW w:w="93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客</w:t>
            </w:r>
            <w:r>
              <w:rPr>
                <w:rFonts w:hint="eastAsia" w:ascii="宋体" w:hAnsi="宋体" w:eastAsia="宋体" w:cs="宋体"/>
                <w:spacing w:val="-4"/>
                <w:sz w:val="24"/>
                <w:szCs w:val="24"/>
              </w:rPr>
              <w:t xml:space="preserve">观分</w:t>
            </w:r>
            <w:r/>
          </w:p>
        </w:tc>
      </w:tr>
      <w:tr>
        <w:trPr>
          <w:jc w:val="center"/>
          <w:trHeight w:val="269"/>
        </w:trPr>
        <w:tc>
          <w:tcPr>
            <w:gridSpan w:val="5"/>
            <w:tcBorders>
              <w:top w:val="single" w:color="000000" w:sz="2" w:space="0"/>
              <w:bottom w:val="single" w:color="000000" w:sz="2" w:space="0"/>
            </w:tcBorders>
            <w:tcW w:w="9980" w:type="dxa"/>
            <w:textDirection w:val="lrTb"/>
            <w:noWrap w:val="false"/>
          </w:tcPr>
          <w:p>
            <w:pP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b/>
                <w:bCs/>
                <w:spacing w:val="-3"/>
                <w:sz w:val="24"/>
                <w:szCs w:val="24"/>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5.1</w:t>
            </w:r>
            <w:r/>
          </w:p>
        </w:tc>
        <w:tc>
          <w:tcPr>
            <w:tcBorders>
              <w:top w:val="single" w:color="000000" w:sz="2" w:space="0"/>
              <w:bottom w:val="single" w:color="000000" w:sz="2" w:space="0"/>
            </w:tcBorders>
            <w:tcW w:w="1179"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0000ff"/>
                <w:sz w:val="24"/>
                <w:szCs w:val="24"/>
              </w:rPr>
            </w:pPr>
            <w:r>
              <w:rPr>
                <w:rFonts w:hint="eastAsia" w:ascii="宋体" w:hAnsi="宋体" w:eastAsia="宋体" w:cs="宋体"/>
                <w:sz w:val="24"/>
                <w:szCs w:val="24"/>
              </w:rPr>
              <w:t xml:space="preserve">履约能力1</w:t>
            </w:r>
            <w:r/>
          </w:p>
        </w:tc>
        <w:tc>
          <w:tcPr>
            <w:tcBorders>
              <w:top w:val="single" w:color="000000" w:sz="2" w:space="0"/>
              <w:bottom w:val="single" w:color="000000" w:sz="2" w:space="0"/>
            </w:tcBorders>
            <w:tcW w:w="6783" w:type="dxa"/>
            <w:vAlign w:val="center"/>
            <w:textDirection w:val="lrTb"/>
            <w:noWrap w:val="false"/>
          </w:tcPr>
          <w:p>
            <w:pP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（1）项目经理能力：具有高级信息系统项目管理师证书，每提供1个证书得2分，最多得2分。</w:t>
            </w:r>
            <w:r/>
          </w:p>
          <w:p>
            <w:pP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（2）技术负责人能力：具有高级系统架构设计师证书，每提供1个证书得2分，最多得2分。</w:t>
            </w:r>
            <w:r/>
          </w:p>
          <w:p>
            <w:pP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（提供上述人员证书及投标人为其缴纳的</w:t>
            </w:r>
            <w:r>
              <w:rPr>
                <w:rFonts w:hint="eastAsia" w:ascii="宋体" w:hAnsi="宋体" w:eastAsia="宋体" w:cs="宋体"/>
                <w:sz w:val="24"/>
                <w:szCs w:val="24"/>
              </w:rPr>
              <w:t xml:space="preserve">2025</w:t>
            </w:r>
            <w:r>
              <w:rPr>
                <w:rFonts w:hint="eastAsia" w:ascii="宋体" w:hAnsi="宋体" w:eastAsia="宋体" w:cs="宋体"/>
                <w:sz w:val="24"/>
                <w:szCs w:val="24"/>
                <w:lang w:val="zh-CN"/>
              </w:rPr>
              <w:t xml:space="preserve">年</w:t>
            </w: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月以来任意一个月的社保证明材料，缺一不可）</w:t>
            </w:r>
            <w:r/>
          </w:p>
        </w:tc>
        <w:tc>
          <w:tcPr>
            <w:tcBorders>
              <w:top w:val="single" w:color="000000" w:sz="2" w:space="0"/>
              <w:bottom w:val="single" w:color="000000" w:sz="2" w:space="0"/>
            </w:tcBorders>
            <w:tcW w:w="56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4"/>
                <w:szCs w:val="24"/>
              </w:rPr>
            </w:pPr>
            <w:r>
              <w:rPr>
                <w:rFonts w:hint="eastAsia" w:ascii="宋体" w:hAnsi="宋体" w:eastAsia="宋体" w:cs="宋体"/>
                <w:color w:val="000000"/>
                <w:spacing w:val="-6"/>
                <w:sz w:val="24"/>
                <w:szCs w:val="24"/>
              </w:rPr>
              <w:t xml:space="preserve">4</w:t>
            </w:r>
            <w:r/>
          </w:p>
        </w:tc>
        <w:tc>
          <w:tcPr>
            <w:tcBorders>
              <w:top w:val="single" w:color="000000" w:sz="2" w:space="0"/>
              <w:bottom w:val="single" w:color="000000" w:sz="2" w:space="0"/>
            </w:tcBorders>
            <w:tcW w:w="93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客</w:t>
            </w:r>
            <w:r>
              <w:rPr>
                <w:rFonts w:hint="eastAsia" w:ascii="宋体" w:hAnsi="宋体" w:eastAsia="宋体" w:cs="宋体"/>
                <w:spacing w:val="-4"/>
                <w:sz w:val="24"/>
                <w:szCs w:val="24"/>
              </w:rPr>
              <w:t xml:space="preserve">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5.2</w:t>
            </w:r>
            <w:r/>
          </w:p>
        </w:tc>
        <w:tc>
          <w:tcPr>
            <w:tcBorders>
              <w:top w:val="single" w:color="000000" w:sz="2" w:space="0"/>
              <w:bottom w:val="single" w:color="000000" w:sz="2" w:space="0"/>
            </w:tcBorders>
            <w:tcW w:w="1179"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0000ff"/>
                <w:sz w:val="24"/>
                <w:szCs w:val="24"/>
              </w:rPr>
            </w:pPr>
            <w:r>
              <w:rPr>
                <w:rFonts w:hint="eastAsia" w:ascii="宋体" w:hAnsi="宋体" w:eastAsia="宋体" w:cs="宋体"/>
                <w:sz w:val="24"/>
                <w:szCs w:val="24"/>
              </w:rPr>
              <w:t xml:space="preserve">履约能力2</w:t>
            </w:r>
            <w:r/>
          </w:p>
        </w:tc>
        <w:tc>
          <w:tcPr>
            <w:tcBorders>
              <w:top w:val="single" w:color="000000" w:sz="2" w:space="0"/>
              <w:bottom w:val="single" w:color="000000" w:sz="2" w:space="0"/>
            </w:tcBorders>
            <w:tcW w:w="6783" w:type="dxa"/>
            <w:vAlign w:val="center"/>
            <w:textDirection w:val="lrTb"/>
            <w:noWrap w:val="false"/>
          </w:tcPr>
          <w:p>
            <w:pP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项目实施团队（不含项目经理和技术负责人）能力：具有注册信息安全专业人员证书（CISP）、软件设计师中级证书，每提供1个证书得2分，最高得4分。</w:t>
            </w:r>
            <w:r/>
          </w:p>
          <w:p>
            <w:pP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（一人多证可重复得分，提供团队成员证书及投标人为其缴纳的2025年5月以来任意一个月的社保证明材料，缺一不可）</w:t>
            </w:r>
            <w:r/>
          </w:p>
        </w:tc>
        <w:tc>
          <w:tcPr>
            <w:tcBorders>
              <w:top w:val="single" w:color="000000" w:sz="2" w:space="0"/>
              <w:bottom w:val="single" w:color="000000" w:sz="2" w:space="0"/>
            </w:tcBorders>
            <w:tcW w:w="56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4"/>
                <w:szCs w:val="24"/>
              </w:rPr>
            </w:pPr>
            <w:r>
              <w:rPr>
                <w:rFonts w:hint="eastAsia" w:ascii="宋体" w:hAnsi="宋体" w:eastAsia="宋体" w:cs="宋体"/>
                <w:color w:val="000000"/>
                <w:spacing w:val="-6"/>
                <w:sz w:val="24"/>
                <w:szCs w:val="24"/>
              </w:rPr>
              <w:t xml:space="preserve">4</w:t>
            </w:r>
            <w:r/>
          </w:p>
        </w:tc>
        <w:tc>
          <w:tcPr>
            <w:tcBorders>
              <w:top w:val="single" w:color="000000" w:sz="2" w:space="0"/>
              <w:bottom w:val="single" w:color="000000" w:sz="2" w:space="0"/>
            </w:tcBorders>
            <w:tcW w:w="93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客</w:t>
            </w:r>
            <w:r>
              <w:rPr>
                <w:rFonts w:hint="eastAsia" w:ascii="宋体" w:hAnsi="宋体" w:eastAsia="宋体" w:cs="宋体"/>
                <w:spacing w:val="-4"/>
                <w:sz w:val="24"/>
                <w:szCs w:val="24"/>
              </w:rPr>
              <w:t xml:space="preserve">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5.3</w:t>
            </w:r>
            <w:r/>
          </w:p>
        </w:tc>
        <w:tc>
          <w:tcPr>
            <w:tcBorders>
              <w:top w:val="single" w:color="000000" w:sz="2" w:space="0"/>
              <w:bottom w:val="single" w:color="000000" w:sz="2" w:space="0"/>
            </w:tcBorders>
            <w:tcW w:w="1179" w:type="dxa"/>
            <w:vAlign w:val="center"/>
            <w:textDirection w:val="lrTb"/>
            <w:noWrap w:val="false"/>
          </w:tcPr>
          <w:p>
            <w:pP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履约能力3</w:t>
            </w:r>
            <w:r/>
          </w:p>
        </w:tc>
        <w:tc>
          <w:tcPr>
            <w:tcBorders>
              <w:top w:val="single" w:color="000000" w:sz="2" w:space="0"/>
              <w:bottom w:val="single" w:color="000000" w:sz="2" w:space="0"/>
            </w:tcBorders>
            <w:tcW w:w="6783" w:type="dxa"/>
            <w:vAlign w:val="center"/>
            <w:textDirection w:val="lrTb"/>
            <w:noWrap w:val="false"/>
          </w:tcPr>
          <w:p>
            <w:pP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（1）投标人具有住院医师规范化培训管理系统的信创产品评估证书，得1分；（提供证书）</w:t>
            </w:r>
            <w:r/>
          </w:p>
          <w:p>
            <w:pP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投标人具有医院教学管理</w:t>
            </w:r>
            <w:r>
              <w:rPr>
                <w:rFonts w:hint="eastAsia" w:ascii="宋体" w:hAnsi="宋体" w:eastAsia="宋体" w:cs="宋体"/>
                <w:sz w:val="24"/>
                <w:szCs w:val="24"/>
                <w:lang w:eastAsia="zh-CN"/>
              </w:rPr>
              <w:t xml:space="preserve">相关</w:t>
            </w:r>
            <w:r>
              <w:rPr>
                <w:rFonts w:hint="eastAsia" w:ascii="宋体" w:hAnsi="宋体" w:eastAsia="宋体" w:cs="宋体"/>
                <w:sz w:val="24"/>
                <w:szCs w:val="24"/>
              </w:rPr>
              <w:t xml:space="preserve">信息</w:t>
            </w:r>
            <w:r>
              <w:rPr>
                <w:rFonts w:hint="eastAsia" w:ascii="宋体" w:hAnsi="宋体" w:eastAsia="宋体" w:cs="宋体"/>
                <w:sz w:val="24"/>
                <w:szCs w:val="24"/>
                <w:lang w:val="en-US" w:eastAsia="zh-CN"/>
              </w:rPr>
              <w:t xml:space="preserve">系统</w:t>
            </w:r>
            <w:r>
              <w:rPr>
                <w:rFonts w:hint="eastAsia" w:ascii="宋体" w:hAnsi="宋体" w:eastAsia="宋体" w:cs="宋体"/>
                <w:sz w:val="24"/>
                <w:szCs w:val="24"/>
              </w:rPr>
              <w:t xml:space="preserve">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网络安全等级保护评测报告（第三级</w:t>
            </w:r>
            <w:r>
              <w:rPr>
                <w:rFonts w:hint="eastAsia" w:ascii="宋体" w:hAnsi="宋体" w:eastAsia="宋体" w:cs="宋体"/>
                <w:sz w:val="24"/>
                <w:szCs w:val="24"/>
                <w:lang w:val="en-US" w:eastAsia="zh-CN"/>
              </w:rPr>
              <w:t xml:space="preserve">及以上</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，得2分；（提供评测报告关键页</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须清晰可见相应内容）</w:t>
            </w:r>
            <w:r/>
          </w:p>
          <w:p>
            <w:pP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投标人具有医院教学管理</w:t>
            </w:r>
            <w:r>
              <w:rPr>
                <w:rFonts w:hint="eastAsia" w:ascii="宋体" w:hAnsi="宋体" w:eastAsia="宋体" w:cs="宋体"/>
                <w:sz w:val="24"/>
                <w:szCs w:val="24"/>
                <w:lang w:eastAsia="zh-CN"/>
              </w:rPr>
              <w:t xml:space="preserve">相关</w:t>
            </w:r>
            <w:r>
              <w:rPr>
                <w:rFonts w:hint="eastAsia" w:ascii="宋体" w:hAnsi="宋体" w:eastAsia="宋体" w:cs="宋体"/>
                <w:sz w:val="24"/>
                <w:szCs w:val="24"/>
              </w:rPr>
              <w:t xml:space="preserve">信息</w:t>
            </w:r>
            <w:r>
              <w:rPr>
                <w:rFonts w:hint="eastAsia" w:ascii="宋体" w:hAnsi="宋体" w:eastAsia="宋体" w:cs="宋体"/>
                <w:sz w:val="24"/>
                <w:szCs w:val="24"/>
                <w:lang w:val="en-US" w:eastAsia="zh-CN"/>
              </w:rPr>
              <w:t xml:space="preserve">系统</w:t>
            </w:r>
            <w:r>
              <w:rPr>
                <w:rFonts w:hint="eastAsia" w:ascii="宋体" w:hAnsi="宋体" w:eastAsia="宋体" w:cs="宋体"/>
                <w:sz w:val="24"/>
                <w:szCs w:val="24"/>
              </w:rPr>
              <w:t xml:space="preserve">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信息系统安全等级保护备案证明（第三级</w:t>
            </w:r>
            <w:r>
              <w:rPr>
                <w:rFonts w:hint="eastAsia" w:ascii="宋体" w:hAnsi="宋体" w:eastAsia="宋体" w:cs="宋体"/>
                <w:sz w:val="24"/>
                <w:szCs w:val="24"/>
                <w:lang w:val="en-US" w:eastAsia="zh-CN"/>
              </w:rPr>
              <w:t xml:space="preserve">及以上</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，得2分。（提供备案证明）</w:t>
            </w:r>
            <w:r/>
          </w:p>
        </w:tc>
        <w:tc>
          <w:tcPr>
            <w:tcBorders>
              <w:top w:val="single" w:color="000000" w:sz="2" w:space="0"/>
              <w:bottom w:val="single" w:color="000000" w:sz="2" w:space="0"/>
            </w:tcBorders>
            <w:tcW w:w="56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c>
          <w:tcPr>
            <w:tcBorders>
              <w:top w:val="single" w:color="000000" w:sz="2" w:space="0"/>
              <w:bottom w:val="single" w:color="000000" w:sz="2" w:space="0"/>
            </w:tcBorders>
            <w:tcW w:w="93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客</w:t>
            </w:r>
            <w:r>
              <w:rPr>
                <w:rFonts w:hint="eastAsia" w:ascii="宋体" w:hAnsi="宋体" w:eastAsia="宋体" w:cs="宋体"/>
                <w:spacing w:val="-4"/>
                <w:sz w:val="24"/>
                <w:szCs w:val="24"/>
              </w:rPr>
              <w:t xml:space="preserve">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5.4</w:t>
            </w:r>
            <w:r/>
          </w:p>
        </w:tc>
        <w:tc>
          <w:tcPr>
            <w:tcBorders>
              <w:top w:val="single" w:color="000000" w:sz="2" w:space="0"/>
              <w:bottom w:val="single" w:color="000000" w:sz="2" w:space="0"/>
            </w:tcBorders>
            <w:tcW w:w="1179" w:type="dxa"/>
            <w:vAlign w:val="center"/>
            <w:textDirection w:val="lrTb"/>
            <w:noWrap w:val="false"/>
          </w:tcPr>
          <w:p>
            <w:pPr>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履约能力</w:t>
            </w:r>
            <w:r>
              <w:rPr>
                <w:rFonts w:hint="eastAsia" w:ascii="宋体" w:hAnsi="宋体" w:eastAsia="宋体" w:cs="宋体"/>
                <w:sz w:val="24"/>
                <w:szCs w:val="24"/>
                <w:lang w:val="en-US" w:eastAsia="zh-CN"/>
              </w:rPr>
              <w:t xml:space="preserve">4</w:t>
            </w:r>
            <w:r/>
          </w:p>
        </w:tc>
        <w:tc>
          <w:tcPr>
            <w:tcBorders>
              <w:top w:val="single" w:color="000000" w:sz="2" w:space="0"/>
              <w:bottom w:val="single" w:color="000000" w:sz="2" w:space="0"/>
            </w:tcBorders>
            <w:tcW w:w="6783" w:type="dxa"/>
            <w:vAlign w:val="center"/>
            <w:textDirection w:val="lrTb"/>
            <w:noWrap w:val="false"/>
          </w:tcPr>
          <w:p>
            <w:pP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投标人拟投入本项目的相关产品具有本项目相关软件著作权证书，软件名称包含“教学管理平台类、学生管理系统类、规范化培训管理系统类”等关键字，每提供1个证书得2分，本项最多得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 </w:t>
            </w:r>
            <w:r/>
          </w:p>
          <w:p>
            <w:pP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（所提供证书“软件名称”与评分细则规定不同时，应提供符合上述要求的内容（功能）说明及关键信息，否则不予认可。）</w:t>
            </w:r>
            <w:r/>
          </w:p>
        </w:tc>
        <w:tc>
          <w:tcPr>
            <w:tcBorders>
              <w:top w:val="single" w:color="000000" w:sz="2" w:space="0"/>
              <w:bottom w:val="single" w:color="000000" w:sz="2" w:space="0"/>
            </w:tcBorders>
            <w:tcW w:w="56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p>
        </w:tc>
        <w:tc>
          <w:tcPr>
            <w:tcBorders>
              <w:top w:val="single" w:color="000000" w:sz="2" w:space="0"/>
              <w:bottom w:val="single" w:color="000000" w:sz="2" w:space="0"/>
            </w:tcBorders>
            <w:tcW w:w="93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客</w:t>
            </w:r>
            <w:r>
              <w:rPr>
                <w:rFonts w:hint="eastAsia" w:ascii="宋体" w:hAnsi="宋体" w:eastAsia="宋体" w:cs="宋体"/>
                <w:spacing w:val="-4"/>
                <w:sz w:val="24"/>
                <w:szCs w:val="24"/>
              </w:rPr>
              <w:t xml:space="preserve">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ff0000"/>
                <w:sz w:val="24"/>
                <w:szCs w:val="24"/>
              </w:rPr>
            </w:pPr>
            <w:r>
              <w:rPr>
                <w:rFonts w:hint="eastAsia" w:ascii="宋体" w:hAnsi="宋体" w:eastAsia="宋体" w:cs="宋体"/>
                <w:spacing w:val="-3"/>
                <w:sz w:val="24"/>
                <w:szCs w:val="24"/>
              </w:rPr>
              <w:t xml:space="preserve">合</w:t>
            </w:r>
            <w:r>
              <w:rPr>
                <w:rFonts w:hint="eastAsia" w:ascii="宋体" w:hAnsi="宋体" w:eastAsia="宋体" w:cs="宋体"/>
                <w:spacing w:val="-2"/>
                <w:sz w:val="24"/>
                <w:szCs w:val="24"/>
              </w:rPr>
              <w:t xml:space="preserve">计</w:t>
            </w:r>
            <w:r/>
          </w:p>
        </w:tc>
        <w:tc>
          <w:tcPr>
            <w:gridSpan w:val="2"/>
            <w:tcBorders>
              <w:top w:val="single" w:color="000000" w:sz="2" w:space="0"/>
              <w:bottom w:val="single" w:color="000000" w:sz="2" w:space="0"/>
            </w:tcBorders>
            <w:tcW w:w="796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ff0000"/>
                <w:spacing w:val="-2"/>
                <w:sz w:val="24"/>
                <w:szCs w:val="24"/>
              </w:rPr>
            </w:pPr>
            <w:r>
              <w:rPr>
                <w:rFonts w:hint="eastAsia" w:ascii="宋体" w:hAnsi="宋体" w:eastAsia="宋体" w:cs="宋体"/>
                <w:color w:val="ff0000"/>
                <w:spacing w:val="-2"/>
                <w:sz w:val="24"/>
                <w:szCs w:val="24"/>
              </w:rPr>
            </w:r>
            <w:r/>
          </w:p>
        </w:tc>
        <w:tc>
          <w:tcPr>
            <w:gridSpan w:val="2"/>
            <w:tcBorders>
              <w:top w:val="single" w:color="000000" w:sz="2" w:space="0"/>
              <w:bottom w:val="single" w:color="000000" w:sz="2" w:space="0"/>
            </w:tcBorders>
            <w:tcW w:w="149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pacing w:val="-11"/>
                <w:sz w:val="24"/>
                <w:szCs w:val="24"/>
              </w:rPr>
              <w:t xml:space="preserve">100分</w:t>
            </w:r>
            <w:r/>
          </w:p>
        </w:tc>
      </w:tr>
    </w:tbl>
    <w:p>
      <w:pPr>
        <w:keepLines w:val="0"/>
        <w:keepNext w:val="0"/>
        <w:pageBreakBefore w:val="0"/>
        <w:spacing w:line="264" w:lineRule="auto"/>
        <w:widowControl w:val="off"/>
        <w:rPr>
          <w:rFonts w:hint="eastAsia"/>
        </w:rPr>
      </w:pPr>
      <w:r>
        <w:rPr>
          <w:rFonts w:hint="eastAsia"/>
        </w:rPr>
      </w:r>
      <w:r/>
    </w:p>
    <w:p>
      <w:pPr>
        <w:jc w:val="center"/>
        <w:widowControl/>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0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0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0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00"/>
        <w:rPr>
          <w:rFonts w:hint="eastAsia"/>
        </w:rPr>
      </w:pPr>
      <w:r>
        <w:rPr>
          <w:rFonts w:hint="eastAsia"/>
        </w:rPr>
      </w:r>
      <w:r>
        <w:rPr>
          <w:rFonts w:hint="eastAsia"/>
        </w:rPr>
      </w:r>
      <w:r/>
    </w:p>
    <w:p>
      <w:pPr>
        <w:pStyle w:val="700"/>
        <w:rPr>
          <w:rFonts w:hint="eastAsia"/>
        </w:rPr>
      </w:pPr>
      <w:r>
        <w:rPr>
          <w:rFonts w:hint="eastAsia"/>
        </w:rPr>
      </w:r>
      <w:r>
        <w:rPr>
          <w:rFonts w:hint="eastAsia"/>
        </w:rPr>
      </w:r>
      <w:r/>
    </w:p>
    <w:p>
      <w:pPr>
        <w:pStyle w:val="700"/>
        <w:rPr>
          <w:rFonts w:hint="eastAsia"/>
        </w:rPr>
      </w:pPr>
      <w:r>
        <w:rPr>
          <w:rFonts w:hint="eastAsia"/>
        </w:rPr>
      </w:r>
      <w:r/>
    </w:p>
    <w:p>
      <w:pPr>
        <w:rPr>
          <w:rFonts w:hint="eastAsia"/>
        </w:rPr>
      </w:pPr>
      <w:r>
        <w:rPr>
          <w:rFonts w:hint="eastAsia"/>
        </w:rPr>
      </w:r>
      <w:r/>
    </w:p>
    <w:p>
      <w:pPr>
        <w:jc w:val="center"/>
        <w:widowControl/>
        <w:rPr>
          <w:rFonts w:hint="eastAsia" w:ascii="方正小标宋简体" w:hAnsi="方正小标宋简体" w:eastAsia="方正小标宋简体" w:cs="方正小标宋简体"/>
          <w:color w:val="000000"/>
          <w:sz w:val="36"/>
          <w:szCs w:val="36"/>
        </w:rPr>
        <w:outlineLvl w:val="0"/>
      </w:pPr>
      <w:r/>
      <w:bookmarkStart w:id="212" w:name="_GoBack"/>
      <w:r/>
      <w:bookmarkEnd w:id="212"/>
      <w:r>
        <w:rPr>
          <w:rFonts w:hint="eastAsia" w:ascii="方正小标宋简体" w:hAnsi="方正小标宋简体" w:eastAsia="方正小标宋简体" w:cs="方正小标宋简体"/>
          <w:color w:val="000000"/>
          <w:sz w:val="36"/>
          <w:szCs w:val="36"/>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rPr>
        <w:t xml:space="preserve">文件格式</w:t>
      </w:r>
      <w:r/>
    </w:p>
    <w:p>
      <w:pPr>
        <w:jc w:val="center"/>
        <w:rPr>
          <w:rFonts w:hint="eastAsia" w:ascii="宋体" w:hAnsi="宋体"/>
          <w:b/>
          <w:sz w:val="72"/>
        </w:rPr>
      </w:pPr>
      <w:r/>
      <w:bookmarkStart w:id="194" w:name="_Hlt26671244"/>
      <w:r/>
      <w:bookmarkEnd w:id="194"/>
      <w:r/>
      <w:bookmarkStart w:id="195" w:name="_Hlt26955039"/>
      <w:r/>
      <w:bookmarkEnd w:id="195"/>
      <w:r/>
      <w:bookmarkStart w:id="196" w:name="_Toc26554094"/>
      <w:r/>
      <w:bookmarkStart w:id="197" w:name="_Toc120614282"/>
      <w:r/>
      <w:bookmarkStart w:id="198" w:name="_Toc49090576"/>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pStyle w:val="700"/>
        <w:rPr>
          <w:rFonts w:hint="eastAsia"/>
        </w:rPr>
      </w:pPr>
      <w:r>
        <w:rPr>
          <w:rFonts w:hint="eastAsia"/>
        </w:rPr>
      </w:r>
      <w:r/>
    </w:p>
    <w:p>
      <w:pPr>
        <w:pStyle w:val="700"/>
        <w:rPr>
          <w:rFonts w:hint="eastAsia"/>
        </w:rPr>
      </w:pPr>
      <w:r>
        <w:rPr>
          <w:rFonts w:hint="eastAsia"/>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25"/>
        <w:rPr>
          <w:sz w:val="24"/>
        </w:rPr>
      </w:pPr>
      <w:r>
        <w:rPr>
          <w:sz w:val="24"/>
        </w:rPr>
      </w:r>
      <w:r/>
    </w:p>
    <w:p>
      <w:pPr>
        <w:pStyle w:val="925"/>
        <w:rPr>
          <w:sz w:val="24"/>
        </w:rPr>
      </w:pPr>
      <w:r>
        <w:rPr>
          <w:sz w:val="24"/>
        </w:rPr>
      </w:r>
      <w:r/>
    </w:p>
    <w:p>
      <w:pPr>
        <w:pStyle w:val="925"/>
        <w:rPr>
          <w:sz w:val="24"/>
        </w:rPr>
      </w:pPr>
      <w:r>
        <w:rPr>
          <w:sz w:val="24"/>
        </w:rPr>
      </w:r>
      <w:r/>
    </w:p>
    <w:p>
      <w:pPr>
        <w:pStyle w:val="925"/>
        <w:rPr>
          <w:sz w:val="24"/>
        </w:rPr>
      </w:pPr>
      <w:r>
        <w:rPr>
          <w:sz w:val="24"/>
        </w:rPr>
      </w:r>
      <w:r/>
    </w:p>
    <w:p>
      <w:pPr>
        <w:pStyle w:val="925"/>
        <w:rPr>
          <w:sz w:val="24"/>
        </w:rPr>
      </w:pPr>
      <w:r>
        <w:rPr>
          <w:sz w:val="24"/>
        </w:rPr>
      </w:r>
      <w:bookmarkEnd w:id="196"/>
      <w:r/>
      <w:bookmarkEnd w:id="197"/>
      <w:r/>
      <w:bookmarkEnd w:id="198"/>
      <w:r/>
      <w:r/>
    </w:p>
    <w:p>
      <w:pPr>
        <w:ind w:firstLine="480"/>
        <w:spacing w:line="440" w:lineRule="exact"/>
        <w:rPr>
          <w:rFonts w:ascii="宋体" w:hAnsi="宋体"/>
          <w:sz w:val="24"/>
        </w:rPr>
      </w:pPr>
      <w:r>
        <w:rPr>
          <w:rFonts w:ascii="宋体" w:hAnsi="宋体"/>
          <w:sz w:val="24"/>
        </w:rPr>
      </w:r>
      <w:r/>
    </w:p>
    <w:p>
      <w:pPr>
        <w:rPr>
          <w:rFonts w:hint="eastAsia" w:ascii="黑体" w:hAnsi="黑体" w:eastAsia="黑体"/>
          <w:i/>
          <w:sz w:val="32"/>
          <w:szCs w:val="32"/>
          <w:u w:val="single"/>
        </w:rPr>
      </w:pPr>
      <w:r/>
      <w:bookmarkStart w:id="199" w:name="_Toc120614284"/>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6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pStyle w:val="964"/>
        <w:rPr>
          <w:rFonts w:hint="eastAsia" w:ascii="宋体" w:hAnsi="宋体"/>
          <w:b/>
          <w:bCs/>
          <w:lang w:eastAsia="zh-CN"/>
        </w:rPr>
      </w:pPr>
      <w:r>
        <w:rPr>
          <w:rFonts w:hint="eastAsia" w:ascii="宋体" w:hAnsi="宋体"/>
          <w:b/>
          <w:bCs/>
          <w:lang w:eastAsia="zh-CN"/>
        </w:rPr>
      </w:r>
      <w:r/>
    </w:p>
    <w:p>
      <w:pPr>
        <w:rPr>
          <w:rFonts w:hint="eastAsia"/>
        </w:rPr>
      </w:pPr>
      <w:r>
        <w:rPr>
          <w:rFonts w:hint="eastAsia"/>
        </w:rPr>
      </w:r>
      <w:r/>
    </w:p>
    <w:p>
      <w:pPr>
        <w:pStyle w:val="740"/>
        <w:rPr>
          <w:rFonts w:hint="eastAsia"/>
        </w:rPr>
      </w:pPr>
      <w:r>
        <w:rPr>
          <w:rFonts w:hint="eastAsia"/>
        </w:rPr>
      </w:r>
      <w:r/>
    </w:p>
    <w:p>
      <w:pPr>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34"/>
        <w:ind w:firstLine="480"/>
        <w:rPr>
          <w:rFonts w:hint="eastAsia"/>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964"/>
        <w:rPr>
          <w:rFonts w:hint="eastAsia"/>
        </w:rPr>
      </w:pPr>
      <w:r>
        <w:rPr>
          <w:rFonts w:hint="eastAsia"/>
        </w:rPr>
      </w:r>
      <w:r/>
    </w:p>
    <w:p>
      <w:pPr>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934"/>
        <w:ind w:firstLine="480"/>
        <w:spacing w:line="420" w:lineRule="exact"/>
        <w:rPr>
          <w:rFonts w:hint="eastAsia"/>
          <w:sz w:val="24"/>
          <w:szCs w:val="24"/>
        </w:rPr>
      </w:pPr>
      <w:r>
        <w:rPr>
          <w:rFonts w:hint="eastAsia"/>
          <w:sz w:val="24"/>
          <w:szCs w:val="24"/>
        </w:rPr>
      </w:r>
      <w:r/>
    </w:p>
    <w:p>
      <w:pPr>
        <w:pStyle w:val="934"/>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34"/>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934"/>
        <w:ind w:firstLine="480"/>
        <w:spacing w:line="480" w:lineRule="exact"/>
        <w:rPr>
          <w:rFonts w:hint="eastAsia"/>
          <w:sz w:val="24"/>
          <w:szCs w:val="24"/>
        </w:rPr>
      </w:pPr>
      <w:r>
        <w:rPr>
          <w:rFonts w:hint="eastAsia"/>
          <w:sz w:val="24"/>
          <w:szCs w:val="24"/>
        </w:rPr>
        <w:t xml:space="preserve">被授权人身份证号码：</w:t>
      </w:r>
      <w:r/>
    </w:p>
    <w:p>
      <w:pPr>
        <w:pStyle w:val="934"/>
        <w:ind w:firstLine="480"/>
        <w:spacing w:line="480" w:lineRule="exact"/>
        <w:rPr>
          <w:rFonts w:hint="eastAsia"/>
          <w:sz w:val="24"/>
          <w:szCs w:val="24"/>
          <w:u w:val="single"/>
        </w:rPr>
      </w:pPr>
      <w:r>
        <w:rPr>
          <w:rFonts w:hint="eastAsia"/>
          <w:sz w:val="24"/>
          <w:szCs w:val="24"/>
        </w:rPr>
        <w:t xml:space="preserve">被授权人联系电话：（手机）</w:t>
      </w:r>
      <w:r/>
    </w:p>
    <w:p>
      <w:pPr>
        <w:pStyle w:val="934"/>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34"/>
        <w:ind w:firstLine="480"/>
        <w:spacing w:line="480" w:lineRule="exact"/>
        <w:rPr>
          <w:rFonts w:hint="eastAsia"/>
          <w:sz w:val="24"/>
          <w:szCs w:val="24"/>
          <w:u w:val="single"/>
        </w:rPr>
      </w:pPr>
      <w:r>
        <w:rPr>
          <w:rFonts w:hint="eastAsia"/>
          <w:sz w:val="24"/>
          <w:szCs w:val="24"/>
        </w:rPr>
        <w:t xml:space="preserve">单位地址：</w:t>
      </w:r>
      <w:r/>
    </w:p>
    <w:p>
      <w:pPr>
        <w:pStyle w:val="934"/>
        <w:ind w:firstLine="480"/>
        <w:spacing w:line="480" w:lineRule="exact"/>
        <w:rPr>
          <w:rFonts w:hint="eastAsia"/>
          <w:sz w:val="24"/>
          <w:szCs w:val="24"/>
        </w:rPr>
      </w:pPr>
      <w:r>
        <w:rPr>
          <w:rFonts w:hint="eastAsia"/>
          <w:sz w:val="24"/>
          <w:szCs w:val="24"/>
        </w:rPr>
        <w:t xml:space="preserve">日    期：</w:t>
      </w:r>
      <w:bookmarkStart w:id="200" w:name="_格式3__银行出具的资信证明"/>
      <w:r/>
      <w:bookmarkEnd w:id="200"/>
      <w:r/>
      <w:bookmarkStart w:id="201" w:name="_Hlt26955070"/>
      <w:r/>
      <w:bookmarkEnd w:id="201"/>
      <w:r/>
      <w:bookmarkStart w:id="202" w:name="_Hlt26671380"/>
      <w:r/>
      <w:bookmarkEnd w:id="202"/>
      <w:r/>
      <w:r/>
    </w:p>
    <w:p>
      <w:pPr>
        <w:pStyle w:val="703"/>
        <w:rPr>
          <w:rFonts w:hint="eastAsia"/>
          <w:i/>
          <w:sz w:val="24"/>
          <w:szCs w:val="24"/>
          <w:u w:val="single"/>
        </w:rPr>
      </w:pPr>
      <w:r>
        <w:rPr>
          <w:rFonts w:hint="eastAsia"/>
          <w:i/>
          <w:sz w:val="24"/>
          <w:szCs w:val="24"/>
          <w:u w:val="single"/>
        </w:rPr>
      </w:r>
      <w:r/>
    </w:p>
    <w:p>
      <w:pPr>
        <w:pStyle w:val="703"/>
        <w:rPr>
          <w:rFonts w:hint="eastAsia"/>
          <w:i/>
          <w:sz w:val="24"/>
          <w:szCs w:val="24"/>
          <w:u w:val="single"/>
        </w:rPr>
      </w:pPr>
      <w:r>
        <w:rPr>
          <w:rFonts w:hint="eastAsia"/>
          <w:i/>
          <w:sz w:val="24"/>
          <w:szCs w:val="24"/>
          <w:u w:val="single"/>
        </w:rPr>
      </w:r>
      <w:r/>
    </w:p>
    <w:p>
      <w:pPr>
        <w:pStyle w:val="703"/>
        <w:rPr>
          <w:rFonts w:hint="eastAsia"/>
          <w:i/>
          <w:sz w:val="24"/>
          <w:szCs w:val="24"/>
          <w:u w:val="single"/>
        </w:rPr>
      </w:pPr>
      <w:r>
        <w:rPr>
          <w:rFonts w:hint="eastAsia"/>
          <w:i/>
          <w:sz w:val="24"/>
          <w:szCs w:val="24"/>
          <w:u w:val="single"/>
        </w:rPr>
      </w:r>
      <w:r/>
    </w:p>
    <w:p>
      <w:pPr>
        <w:pStyle w:val="703"/>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25"/>
        <w:rPr>
          <w:rFonts w:hint="eastAsia"/>
          <w:bCs/>
          <w:sz w:val="24"/>
        </w:rPr>
      </w:pPr>
      <w:r>
        <w:rPr>
          <w:rFonts w:hint="eastAsia"/>
          <w:bCs/>
          <w:sz w:val="24"/>
        </w:rPr>
      </w:r>
      <w:r/>
    </w:p>
    <w:p>
      <w:pPr>
        <w:pStyle w:val="925"/>
        <w:rPr>
          <w:rFonts w:hint="eastAsia"/>
          <w:bCs/>
          <w:sz w:val="24"/>
        </w:rPr>
      </w:pPr>
      <w:r>
        <w:rPr>
          <w:rFonts w:hint="eastAsia"/>
          <w:bCs/>
          <w:sz w:val="24"/>
        </w:rPr>
      </w:r>
      <w:r/>
    </w:p>
    <w:p>
      <w:pPr>
        <w:pStyle w:val="925"/>
        <w:rPr>
          <w:rFonts w:hint="eastAsia"/>
          <w:bCs/>
          <w:sz w:val="24"/>
        </w:rPr>
      </w:pPr>
      <w:r>
        <w:rPr>
          <w:rFonts w:hint="eastAsia"/>
          <w:bCs/>
          <w:sz w:val="24"/>
        </w:rPr>
      </w:r>
      <w:r/>
    </w:p>
    <w:p>
      <w:pPr>
        <w:pStyle w:val="925"/>
        <w:rPr>
          <w:rFonts w:hint="eastAsia"/>
          <w:bCs/>
          <w:sz w:val="24"/>
        </w:rPr>
      </w:pPr>
      <w:r>
        <w:rPr>
          <w:rFonts w:hint="eastAsia"/>
          <w:bCs/>
          <w:sz w:val="24"/>
        </w:rPr>
      </w:r>
      <w:r/>
    </w:p>
    <w:p>
      <w:pPr>
        <w:pStyle w:val="925"/>
        <w:rPr>
          <w:rFonts w:hint="eastAsia"/>
          <w:bCs/>
          <w:sz w:val="24"/>
        </w:rPr>
      </w:pPr>
      <w:r>
        <w:rPr>
          <w:rFonts w:hint="eastAsia"/>
          <w:bCs/>
          <w:sz w:val="24"/>
        </w:rPr>
      </w:r>
      <w:r/>
    </w:p>
    <w:p>
      <w:pPr>
        <w:pStyle w:val="925"/>
        <w:rPr>
          <w:rFonts w:hint="eastAsia"/>
          <w:bCs/>
          <w:sz w:val="24"/>
        </w:rPr>
      </w:pPr>
      <w:r>
        <w:rPr>
          <w:rFonts w:hint="eastAsia"/>
          <w:bCs/>
          <w:sz w:val="24"/>
        </w:rPr>
      </w:r>
      <w:r/>
    </w:p>
    <w:p>
      <w:pPr>
        <w:pStyle w:val="925"/>
        <w:rPr>
          <w:rFonts w:hint="eastAsia"/>
          <w:bCs/>
          <w:sz w:val="24"/>
        </w:rPr>
      </w:pPr>
      <w:r>
        <w:rPr>
          <w:rFonts w:hint="eastAsia"/>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36"/>
        <w:spacing w:before="0" w:after="0" w:line="420" w:lineRule="exact"/>
        <w:rPr>
          <w:rFonts w:hint="eastAsia" w:ascii="宋体" w:hAnsi="宋体"/>
          <w:szCs w:val="21"/>
        </w:rPr>
      </w:pPr>
      <w:r>
        <w:rPr>
          <w:rFonts w:hint="eastAsia" w:ascii="宋体" w:hAnsi="宋体"/>
          <w:szCs w:val="21"/>
        </w:rPr>
        <w:t xml:space="preserve">致：南京市公共资源交易中心</w:t>
      </w:r>
      <w:r/>
    </w:p>
    <w:p>
      <w:pPr>
        <w:pStyle w:val="936"/>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3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3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36"/>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936"/>
        <w:spacing w:before="0" w:after="0" w:line="420" w:lineRule="exact"/>
        <w:rPr>
          <w:rFonts w:hint="eastAsia" w:ascii="宋体" w:hAnsi="宋体"/>
          <w:szCs w:val="21"/>
        </w:rPr>
      </w:pPr>
      <w:r>
        <w:rPr>
          <w:rFonts w:hint="eastAsia" w:ascii="宋体" w:hAnsi="宋体"/>
          <w:szCs w:val="21"/>
        </w:rPr>
        <w:t xml:space="preserve">地  址：</w:t>
      </w:r>
      <w:r/>
    </w:p>
    <w:p>
      <w:pPr>
        <w:pStyle w:val="936"/>
        <w:spacing w:before="0" w:after="0" w:line="420" w:lineRule="exact"/>
        <w:rPr>
          <w:rFonts w:hint="eastAsia" w:ascii="宋体" w:hAnsi="宋体"/>
          <w:szCs w:val="21"/>
        </w:rPr>
      </w:pPr>
      <w:r>
        <w:rPr>
          <w:rFonts w:hint="eastAsia" w:ascii="宋体" w:hAnsi="宋体"/>
          <w:szCs w:val="21"/>
        </w:rPr>
        <w:t xml:space="preserve">邮  编：</w:t>
      </w:r>
      <w:r/>
    </w:p>
    <w:p>
      <w:pPr>
        <w:pStyle w:val="936"/>
        <w:spacing w:before="0" w:after="0" w:line="420" w:lineRule="exact"/>
        <w:rPr>
          <w:rFonts w:hint="eastAsia" w:ascii="宋体" w:hAnsi="宋体"/>
          <w:szCs w:val="21"/>
          <w:u w:val="single"/>
        </w:rPr>
      </w:pPr>
      <w:r>
        <w:rPr>
          <w:rFonts w:hint="eastAsia" w:ascii="宋体" w:hAnsi="宋体"/>
          <w:szCs w:val="21"/>
        </w:rPr>
        <w:t xml:space="preserve">电  话：</w:t>
      </w:r>
      <w:r/>
    </w:p>
    <w:p>
      <w:pPr>
        <w:pStyle w:val="936"/>
        <w:spacing w:before="0" w:after="0" w:line="420" w:lineRule="exact"/>
        <w:rPr>
          <w:rFonts w:hint="eastAsia" w:ascii="宋体" w:hAnsi="宋体"/>
          <w:szCs w:val="21"/>
          <w:u w:val="single"/>
        </w:rPr>
      </w:pPr>
      <w:r>
        <w:rPr>
          <w:rFonts w:hint="eastAsia" w:ascii="宋体" w:hAnsi="宋体"/>
          <w:szCs w:val="21"/>
        </w:rPr>
        <w:t xml:space="preserve">传  真：</w:t>
      </w:r>
      <w:r/>
    </w:p>
    <w:p>
      <w:pPr>
        <w:pStyle w:val="936"/>
        <w:spacing w:before="0" w:after="0" w:line="420" w:lineRule="exact"/>
        <w:rPr>
          <w:rFonts w:hint="eastAsia" w:ascii="宋体" w:hAnsi="宋体"/>
          <w:szCs w:val="21"/>
          <w:u w:val="single"/>
        </w:rPr>
      </w:pPr>
      <w:r>
        <w:rPr>
          <w:rFonts w:hint="eastAsia" w:ascii="宋体" w:hAnsi="宋体"/>
          <w:szCs w:val="21"/>
        </w:rPr>
        <w:t xml:space="preserve">开户行：</w:t>
      </w:r>
      <w:r/>
    </w:p>
    <w:p>
      <w:pPr>
        <w:pStyle w:val="936"/>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36"/>
        <w:spacing w:before="0" w:after="0" w:line="420" w:lineRule="exact"/>
        <w:rPr>
          <w:rFonts w:hint="eastAsia" w:ascii="宋体" w:hAnsi="宋体"/>
          <w:szCs w:val="21"/>
        </w:rPr>
      </w:pPr>
      <w:r>
        <w:rPr>
          <w:rFonts w:hint="eastAsia" w:ascii="宋体" w:hAnsi="宋体"/>
          <w:szCs w:val="21"/>
        </w:rPr>
        <w:t xml:space="preserve">日  期：</w:t>
      </w:r>
      <w:r/>
    </w:p>
    <w:p>
      <w:pPr>
        <w:pStyle w:val="936"/>
        <w:ind w:left="420"/>
        <w:spacing w:before="0" w:after="0" w:line="420" w:lineRule="exact"/>
        <w:rPr>
          <w:rFonts w:hint="eastAsia" w:ascii="宋体" w:hAnsi="宋体"/>
          <w:szCs w:val="21"/>
        </w:rPr>
      </w:pPr>
      <w:r>
        <w:rPr>
          <w:rFonts w:hint="eastAsia" w:ascii="宋体" w:hAnsi="宋体"/>
          <w:szCs w:val="21"/>
        </w:rPr>
      </w:r>
      <w:r/>
    </w:p>
    <w:p>
      <w:pPr>
        <w:pStyle w:val="936"/>
        <w:ind w:left="42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五、开标一览表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hint="eastAsia"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sz w:val="24"/>
          <w:szCs w:val="24"/>
        </w:rPr>
      </w:pPr>
      <w:r>
        <w:rPr>
          <w:rFonts w:hint="eastAsia" w:ascii="宋体" w:hAnsi="宋体"/>
          <w:sz w:val="24"/>
          <w:szCs w:val="24"/>
        </w:rPr>
        <w:t xml:space="preserve">项目编号：                                   采购包号：</w:t>
      </w:r>
      <w:r/>
    </w:p>
    <w:tbl>
      <w:tblPr>
        <w:tblStyle w:val="699"/>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36"/>
              <w:ind w:firstLine="0"/>
              <w:spacing w:before="0" w:after="0" w:line="480" w:lineRule="auto"/>
              <w:rPr>
                <w:rFonts w:hint="eastAsia" w:ascii="宋体" w:hAnsi="宋体"/>
                <w:szCs w:val="21"/>
              </w:rPr>
            </w:pPr>
            <w:r>
              <w:rPr>
                <w:rFonts w:hint="eastAsia" w:ascii="宋体" w:hAnsi="宋体" w:cs="宋体"/>
              </w:rPr>
              <w:t xml:space="preserve">小写（元）：                             </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740"/>
        <w:rPr>
          <w:rFonts w:hint="eastAsia"/>
        </w:rPr>
      </w:pPr>
      <w:r>
        <w:rPr>
          <w:rFonts w:hint="eastAsia"/>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p>
    <w:p>
      <w:pPr>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921"/>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rPr>
          <w:rFonts w:hint="eastAsia" w:ascii="黑体" w:eastAsia="黑体"/>
          <w:color w:val="000000"/>
          <w:sz w:val="32"/>
          <w:szCs w:val="32"/>
        </w:rPr>
      </w:pPr>
      <w:r>
        <w:rPr>
          <w:rFonts w:hint="eastAsia" w:ascii="黑体" w:eastAsia="黑体"/>
          <w:color w:val="000000"/>
          <w:sz w:val="32"/>
          <w:szCs w:val="32"/>
        </w:rPr>
      </w:r>
      <w:r/>
    </w:p>
    <w:p>
      <w:pPr>
        <w:pStyle w:val="921"/>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rPr>
          <w:rFonts w:hint="eastAsia" w:ascii="黑体" w:eastAsia="黑体"/>
          <w:color w:val="000000"/>
          <w:sz w:val="32"/>
          <w:szCs w:val="32"/>
        </w:rPr>
      </w:pPr>
      <w:r>
        <w:rPr>
          <w:rFonts w:hint="eastAsia" w:ascii="黑体" w:eastAsia="黑体"/>
          <w:color w:val="000000"/>
          <w:sz w:val="32"/>
          <w:szCs w:val="32"/>
        </w:rPr>
      </w:r>
      <w:r/>
    </w:p>
    <w:p>
      <w:pPr>
        <w:pStyle w:val="921"/>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rPr>
          <w:rFonts w:hint="eastAsia" w:ascii="黑体" w:eastAsia="黑体"/>
          <w:color w:val="000000"/>
          <w:sz w:val="32"/>
          <w:szCs w:val="32"/>
        </w:rPr>
      </w:pPr>
      <w:r>
        <w:rPr>
          <w:rFonts w:hint="eastAsia" w:ascii="黑体" w:eastAsia="黑体"/>
          <w:color w:val="000000"/>
          <w:sz w:val="32"/>
          <w:szCs w:val="32"/>
        </w:rPr>
      </w:r>
      <w:r/>
    </w:p>
    <w:p>
      <w:pPr>
        <w:pStyle w:val="921"/>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tbl>
      <w:tblPr>
        <w:tblStyle w:val="699"/>
        <w:tblW w:w="9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8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445"/>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515" w:type="dxa"/>
            <w:vAlign w:val="center"/>
            <w:textDirection w:val="lrTb"/>
            <w:noWrap w:val="false"/>
          </w:tcPr>
          <w:p>
            <w:pPr>
              <w:jc w:val="center"/>
              <w:spacing w:line="0" w:lineRule="atLeast"/>
            </w:pPr>
            <w:r>
              <w:rPr>
                <w:rFonts w:hint="eastAsia" w:ascii="宋体" w:hAnsi="宋体"/>
                <w:sz w:val="24"/>
                <w:szCs w:val="24"/>
              </w:rPr>
              <w:t xml:space="preserve">单价（元）</w:t>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20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投标总价（元）</w:t>
            </w:r>
            <w:r/>
          </w:p>
        </w:tc>
        <w:tc>
          <w:tcPr>
            <w:gridSpan w:val="5"/>
            <w:tcW w:w="69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bl>
    <w:p>
      <w:pPr>
        <w:pStyle w:val="735"/>
        <w:jc w:val="both"/>
        <w:spacing w:before="0" w:beforeAutospacing="0" w:after="0" w:afterAutospacing="0"/>
        <w:rPr>
          <w:color w:val="000000"/>
        </w:rPr>
      </w:pPr>
      <w:r>
        <w:rPr>
          <w:color w:val="000000"/>
        </w:r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spacing w:line="360" w:lineRule="auto"/>
        <w:rPr>
          <w:rFonts w:ascii="宋体" w:hAnsi="宋体"/>
          <w:sz w:val="24"/>
        </w:rPr>
      </w:pPr>
      <w:r>
        <w:rPr>
          <w:rFonts w:ascii="宋体" w:hAnsi="宋体"/>
          <w:sz w:val="24"/>
        </w:rPr>
      </w:r>
      <w:r/>
    </w:p>
    <w:p>
      <w:pPr>
        <w:pStyle w:val="735"/>
        <w:ind w:firstLine="480"/>
        <w:jc w:val="both"/>
        <w:spacing w:before="0" w:beforeAutospacing="0" w:after="0" w:afterAutospacing="0" w:line="360" w:lineRule="auto"/>
        <w:rPr>
          <w:color w:val="000000"/>
        </w:rPr>
      </w:pPr>
      <w:r>
        <w:rPr>
          <w:color w:val="000000"/>
        </w:rPr>
        <w:t xml:space="preserve">备注： </w:t>
      </w:r>
      <w:r/>
    </w:p>
    <w:p>
      <w:pPr>
        <w:pStyle w:val="735"/>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p>
    <w:p>
      <w:pPr>
        <w:pStyle w:val="735"/>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p>
    <w:p>
      <w:pPr>
        <w:pStyle w:val="735"/>
        <w:ind w:firstLine="480"/>
        <w:jc w:val="both"/>
        <w:spacing w:before="0" w:beforeAutospacing="0" w:after="0" w:afterAutospacing="0" w:line="360" w:lineRule="auto"/>
        <w:rPr>
          <w:rFonts w:hint="eastAsia"/>
          <w:color w:val="000000"/>
        </w:rPr>
      </w:pPr>
      <w:r>
        <w:rPr>
          <w:rFonts w:hint="eastAsia"/>
          <w:color w:val="000000"/>
        </w:rPr>
        <w:t xml:space="preserve">3.供应商所报产品须与“第四章-项目清单”中的产品一一对应，如有缺项、漏项或者超出单价上限的，视为无效投标。</w:t>
      </w:r>
      <w:r>
        <w:rPr>
          <w:rFonts w:hint="eastAsia"/>
        </w:rPr>
        <w:t xml:space="preserve">“项目清单”中分项仅为一项的，此表无需提供。</w:t>
      </w:r>
      <w:r/>
    </w:p>
    <w:p>
      <w:pPr>
        <w:pStyle w:val="735"/>
        <w:ind w:firstLine="480"/>
        <w:jc w:val="both"/>
        <w:spacing w:before="0" w:beforeAutospacing="0" w:after="0" w:afterAutospacing="0" w:line="360" w:lineRule="auto"/>
        <w:rPr>
          <w:color w:val="000000"/>
        </w:rPr>
      </w:pPr>
      <w:r>
        <w:rPr>
          <w:rFonts w:hint="eastAsia"/>
          <w:color w:val="000000"/>
        </w:rPr>
        <w:t xml:space="preserve">4.行数不够，可自行添加。</w:t>
      </w:r>
      <w:r/>
    </w:p>
    <w:p>
      <w:pPr>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21"/>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t xml:space="preserve">七</w:t>
      </w:r>
      <w:bookmarkEnd w:id="46"/>
      <w:r/>
      <w:bookmarkEnd w:id="47"/>
      <w:r/>
      <w:bookmarkEnd w:id="199"/>
      <w:r>
        <w:rPr>
          <w:rFonts w:hint="eastAsia" w:ascii="黑体" w:hAnsi="黑体" w:eastAsia="黑体"/>
          <w:iCs/>
          <w:sz w:val="32"/>
          <w:szCs w:val="32"/>
        </w:rPr>
        <w:t xml:space="preserve">、技术要求响应及偏离表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70"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pPr>
            <w:r/>
            <w:r/>
          </w:p>
          <w:p>
            <w:pPr>
              <w:pStyle w:val="740"/>
              <w:rPr>
                <w:rFonts w:hint="eastAsia"/>
              </w:rPr>
            </w:pPr>
            <w:r>
              <w:rPr>
                <w:rFonts w:hint="eastAsia"/>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735"/>
        <w:jc w:val="both"/>
        <w:spacing w:before="0" w:beforeAutospacing="0" w:after="0" w:afterAutospacing="0"/>
      </w:p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735"/>
        <w:ind w:firstLine="480"/>
        <w:jc w:val="both"/>
        <w:spacing w:before="0" w:beforeAutospacing="0" w:after="0" w:afterAutospacing="0" w:line="360" w:lineRule="auto"/>
      </w:pPr>
      <w:r>
        <w:t xml:space="preserve">备注： </w:t>
      </w:r>
      <w:r/>
    </w:p>
    <w:p>
      <w:pPr>
        <w:pStyle w:val="735"/>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735"/>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35"/>
        <w:ind w:firstLine="480"/>
        <w:jc w:val="both"/>
        <w:spacing w:before="0" w:beforeAutospacing="0" w:after="0" w:afterAutospacing="0" w:line="360" w:lineRule="auto"/>
        <w:rPr>
          <w:rFonts w:hint="eastAsia"/>
        </w:rPr>
      </w:pPr>
      <w:r>
        <w:rPr>
          <w:rFonts w:hint="eastAsia"/>
        </w:rPr>
        <w:t xml:space="preserve">3.行数不够，可自行添加。</w:t>
      </w:r>
      <w:r/>
    </w:p>
    <w:p>
      <w:pPr>
        <w:rPr>
          <w:rFonts w:hint="eastAsia" w:ascii="黑体" w:hAnsi="黑体" w:eastAsia="黑体"/>
          <w:iCs/>
          <w:sz w:val="32"/>
          <w:szCs w:val="32"/>
        </w:rPr>
      </w:pPr>
      <w:r/>
      <w:bookmarkStart w:id="203" w:name="_Hlt26955054"/>
      <w:r/>
      <w:bookmarkEnd w:id="203"/>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rPr>
        <w:t xml:space="preserve">八、商务要求响应及偏离表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hint="eastAsia" w:ascii="宋体" w:hAnsi="宋体"/>
                <w:sz w:val="24"/>
                <w:szCs w:val="24"/>
              </w:rPr>
            </w:pPr>
            <w:r/>
            <w:bookmarkStart w:id="204" w:name="_Hlt26955064"/>
            <w:r/>
            <w:bookmarkEnd w:id="204"/>
            <w:r/>
            <w:bookmarkStart w:id="205" w:name="_Hlt24879081"/>
            <w:r/>
            <w:bookmarkEnd w:id="205"/>
            <w:r/>
            <w:bookmarkStart w:id="206" w:name="_Hlt26955056"/>
            <w:r/>
            <w:bookmarkEnd w:id="206"/>
            <w:r/>
            <w:bookmarkStart w:id="207" w:name="_Hlt26580838"/>
            <w:r/>
            <w:bookmarkEnd w:id="207"/>
            <w:r/>
            <w:bookmarkStart w:id="208" w:name="_Hlt26782999"/>
            <w:r/>
            <w:bookmarkEnd w:id="208"/>
            <w:r/>
            <w:bookmarkStart w:id="209" w:name="_Hlt26609391"/>
            <w:r/>
            <w:bookmarkEnd w:id="209"/>
            <w:r/>
            <w:bookmarkStart w:id="210" w:name="_Hlt26671372"/>
            <w:r/>
            <w:bookmarkEnd w:id="210"/>
            <w:r/>
            <w:bookmarkStart w:id="211" w:name="_Hlt26671343"/>
            <w:r/>
            <w:bookmarkEnd w:id="211"/>
            <w:r>
              <w:rPr>
                <w:rFonts w:hint="eastAsia" w:ascii="宋体" w:hAnsi="宋体"/>
                <w:sz w:val="24"/>
                <w:szCs w:val="24"/>
              </w:rPr>
              <w:t xml:space="preserve">序号</w:t>
            </w:r>
            <w:r/>
          </w:p>
        </w:tc>
        <w:tc>
          <w:tcPr>
            <w:tcW w:w="283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81"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pPr>
            <w:r/>
            <w:r/>
          </w:p>
          <w:p>
            <w:pPr>
              <w:pStyle w:val="740"/>
              <w:rPr>
                <w:rFonts w:hint="eastAsia"/>
              </w:rPr>
            </w:pPr>
            <w:r>
              <w:rPr>
                <w:rFonts w:hint="eastAsia"/>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735"/>
        <w:jc w:val="both"/>
        <w:spacing w:before="0" w:beforeAutospacing="0" w:after="0" w:afterAutospacing="0"/>
      </w:p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735"/>
        <w:ind w:firstLine="480"/>
        <w:jc w:val="both"/>
        <w:spacing w:before="0" w:beforeAutospacing="0" w:after="0" w:afterAutospacing="0" w:line="360" w:lineRule="auto"/>
        <w:rPr>
          <w:rFonts w:hint="eastAsia"/>
        </w:rPr>
      </w:pPr>
      <w:r>
        <w:rPr>
          <w:rFonts w:hint="eastAsia"/>
        </w:rPr>
        <w:t xml:space="preserve">备注： </w:t>
      </w:r>
      <w:r/>
    </w:p>
    <w:p>
      <w:pPr>
        <w:pStyle w:val="735"/>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35"/>
        <w:ind w:firstLine="480"/>
        <w:jc w:val="both"/>
        <w:spacing w:before="0" w:beforeAutospacing="0" w:after="0" w:afterAutospacing="0" w:line="360" w:lineRule="auto"/>
        <w:rPr>
          <w:rFonts w:hint="eastAsia"/>
        </w:rPr>
      </w:pPr>
      <w:r>
        <w:rPr>
          <w:rFonts w:hint="eastAsia"/>
        </w:rPr>
        <w:t xml:space="preserve">2.行数不够，可自行添加。</w:t>
      </w:r>
      <w:r/>
    </w:p>
    <w:p>
      <w:pPr>
        <w:rPr>
          <w:color w:val="000000"/>
        </w:rPr>
      </w:pPr>
      <w:r>
        <w:rPr>
          <w:color w:val="000000"/>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21"/>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pStyle w:val="921"/>
        <w:rPr>
          <w:rFonts w:hint="eastAsia"/>
          <w:color w:val="000000"/>
        </w:rPr>
      </w:pPr>
      <w:r>
        <w:rPr>
          <w:rFonts w:hint="eastAsia"/>
          <w:color w:val="000000"/>
        </w:rPr>
      </w:r>
      <w:r/>
    </w:p>
    <w:p>
      <w:pPr>
        <w:rPr>
          <w:rFonts w:hint="eastAsia" w:ascii="黑体" w:hAnsi="黑体" w:eastAsia="黑体"/>
          <w:iCs/>
          <w:color w:val="000000"/>
          <w:sz w:val="32"/>
          <w:szCs w:val="32"/>
        </w:rPr>
      </w:pPr>
      <w:r>
        <w:rPr>
          <w:rFonts w:hint="eastAsia" w:ascii="黑体" w:hAnsi="黑体" w:eastAsia="黑体"/>
          <w:iCs/>
          <w:color w:val="000000"/>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1"/>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widowControl/>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21"/>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Style w:val="744"/>
        <w:rFonts w:ascii="宋体" w:hAnsi="宋体"/>
      </w:rPr>
      <w:framePr w:wrap="around" w:vAnchor="text" w:hAnchor="margin" w:xAlign="center" w:y="1"/>
    </w:pPr>
    <w:r>
      <w:rPr>
        <w:rFonts w:ascii="宋体" w:hAnsi="宋体"/>
      </w:rPr>
      <w:fldChar w:fldCharType="begin"/>
    </w:r>
    <w:r>
      <w:rPr>
        <w:rStyle w:val="744"/>
        <w:rFonts w:ascii="宋体" w:hAnsi="宋体"/>
      </w:rPr>
      <w:instrText xml:space="preserve">PAGE  </w:instrText>
    </w:r>
    <w:r>
      <w:rPr>
        <w:rFonts w:ascii="宋体" w:hAnsi="宋体"/>
      </w:rPr>
      <w:fldChar w:fldCharType="separate"/>
    </w:r>
    <w:r>
      <w:rPr>
        <w:rStyle w:val="744"/>
        <w:rFonts w:ascii="宋体" w:hAnsi="宋体"/>
      </w:rPr>
      <w:t xml:space="preserve">２１</w:t>
    </w:r>
    <w:r>
      <w:rPr>
        <w:rFonts w:ascii="宋体" w:hAnsi="宋体"/>
      </w:rPr>
      <w:fldChar w:fldCharType="end"/>
    </w:r>
    <w:r/>
  </w:p>
  <w:p>
    <w:pPr>
      <w:pStyle w:val="72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Style w:val="744"/>
      </w:rPr>
      <w:framePr w:wrap="around" w:vAnchor="text" w:hAnchor="margin" w:xAlign="center" w:y="1"/>
    </w:pPr>
    <w:r>
      <w:fldChar w:fldCharType="begin"/>
    </w:r>
    <w:r>
      <w:rPr>
        <w:rStyle w:val="744"/>
      </w:rPr>
      <w:instrText xml:space="preserve">PAGE  </w:instrText>
    </w:r>
    <w:r>
      <w:fldChar w:fldCharType="separate"/>
    </w:r>
    <w:r>
      <w:rPr>
        <w:rStyle w:val="744"/>
        <w:lang w:val="en-US" w:eastAsia="zh-CN"/>
      </w:rPr>
      <w:t xml:space="preserve">1</w:t>
    </w:r>
    <w:r>
      <w:fldChar w:fldCharType="end"/>
    </w:r>
    <w:r/>
  </w:p>
  <w:p>
    <w:pPr>
      <w:pStyle w:val="7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94"/>
      <w:isLgl w:val="false"/>
      <w:suff w:val="nothing"/>
      <w:lvlText w:val=""/>
      <w:lvlJc w:val="left"/>
      <w:pPr>
        <w:ind w:left="0" w:firstLine="0"/>
      </w:pPr>
      <w:rPr>
        <w:rFonts w:hint="eastAsia"/>
      </w:rPr>
    </w:lvl>
    <w:lvl w:ilvl="6">
      <w:start w:val="1"/>
      <w:numFmt w:val="none"/>
      <w:pStyle w:val="695"/>
      <w:isLgl w:val="false"/>
      <w:suff w:val="nothing"/>
      <w:lvlText w:val=""/>
      <w:lvlJc w:val="left"/>
      <w:pPr>
        <w:ind w:left="0" w:firstLine="0"/>
      </w:pPr>
      <w:rPr>
        <w:rFonts w:hint="eastAsia"/>
      </w:rPr>
    </w:lvl>
    <w:lvl w:ilvl="7">
      <w:start w:val="1"/>
      <w:numFmt w:val="none"/>
      <w:pStyle w:val="696"/>
      <w:isLgl w:val="false"/>
      <w:suff w:val="nothing"/>
      <w:lvlText w:val=""/>
      <w:lvlJc w:val="left"/>
      <w:pPr>
        <w:ind w:left="0" w:firstLine="0"/>
      </w:pPr>
      <w:rPr>
        <w:rFonts w:hint="eastAsia"/>
      </w:rPr>
    </w:lvl>
    <w:lvl w:ilvl="8">
      <w:start w:val="1"/>
      <w:numFmt w:val="none"/>
      <w:pStyle w:val="697"/>
      <w:isLgl w:val="false"/>
      <w:suff w:val="nothing"/>
      <w:lvlText w:val=""/>
      <w:lvlJc w:val="left"/>
      <w:pPr>
        <w:ind w:left="0" w:firstLine="0"/>
      </w:pPr>
      <w:rPr>
        <w:rFonts w:hint="eastAsia"/>
      </w:rPr>
    </w:lvl>
  </w:abstractNum>
  <w:abstractNum w:abstractNumId="1">
    <w:multiLevelType w:val="hybridMultilevel"/>
    <w:lvl w:ilvl="0">
      <w:start w:val="1"/>
      <w:numFmt w:val="decimal"/>
      <w:pStyle w:val="94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9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9">
    <w:name w:val="Heading 1"/>
    <w:basedOn w:val="688"/>
    <w:next w:val="688"/>
    <w:link w:val="897"/>
    <w:uiPriority w:val="0"/>
    <w:qFormat/>
    <w:pPr>
      <w:jc w:val="center"/>
      <w:keepNext/>
      <w:outlineLvl w:val="0"/>
    </w:pPr>
    <w:rPr>
      <w:rFonts w:ascii="楷体_GB2312" w:eastAsia="楷体_GB2312"/>
      <w:sz w:val="28"/>
      <w:szCs w:val="28"/>
    </w:rPr>
  </w:style>
  <w:style w:type="paragraph" w:styleId="690">
    <w:name w:val="Heading 2"/>
    <w:basedOn w:val="688"/>
    <w:next w:val="703"/>
    <w:link w:val="8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91">
    <w:name w:val="Heading 3"/>
    <w:basedOn w:val="688"/>
    <w:next w:val="703"/>
    <w:link w:val="900"/>
    <w:uiPriority w:val="0"/>
    <w:qFormat/>
    <w:pPr>
      <w:keepLines/>
      <w:keepNext/>
      <w:spacing w:before="260" w:after="260" w:line="416" w:lineRule="auto"/>
      <w:outlineLvl w:val="2"/>
    </w:pPr>
    <w:rPr>
      <w:b/>
      <w:bCs/>
      <w:sz w:val="32"/>
      <w:szCs w:val="32"/>
    </w:rPr>
  </w:style>
  <w:style w:type="paragraph" w:styleId="692">
    <w:name w:val="Heading 4"/>
    <w:basedOn w:val="688"/>
    <w:next w:val="703"/>
    <w:link w:val="901"/>
    <w:uiPriority w:val="0"/>
    <w:qFormat/>
    <w:pPr>
      <w:keepLines/>
      <w:keepNext/>
      <w:spacing w:before="280" w:after="290" w:line="376" w:lineRule="auto"/>
      <w:outlineLvl w:val="3"/>
    </w:pPr>
    <w:rPr>
      <w:rFonts w:ascii="Arial" w:hAnsi="Arial" w:eastAsia="黑体" w:cs="Arial"/>
      <w:b/>
      <w:bCs/>
      <w:sz w:val="28"/>
      <w:szCs w:val="28"/>
    </w:rPr>
  </w:style>
  <w:style w:type="paragraph" w:styleId="693">
    <w:name w:val="Heading 5"/>
    <w:basedOn w:val="688"/>
    <w:next w:val="703"/>
    <w:link w:val="902"/>
    <w:uiPriority w:val="0"/>
    <w:qFormat/>
    <w:pPr>
      <w:keepNext/>
      <w:outlineLvl w:val="4"/>
    </w:pPr>
    <w:rPr>
      <w:rFonts w:ascii="宋体"/>
      <w:color w:val="000000"/>
      <w:sz w:val="28"/>
      <w:szCs w:val="28"/>
    </w:rPr>
  </w:style>
  <w:style w:type="paragraph" w:styleId="694">
    <w:name w:val="Heading 6"/>
    <w:basedOn w:val="688"/>
    <w:next w:val="688"/>
    <w:link w:val="90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95">
    <w:name w:val="Heading 7"/>
    <w:basedOn w:val="688"/>
    <w:next w:val="688"/>
    <w:link w:val="904"/>
    <w:uiPriority w:val="0"/>
    <w:qFormat/>
    <w:pPr>
      <w:numPr>
        <w:ilvl w:val="6"/>
        <w:numId w:val="1"/>
      </w:numPr>
      <w:keepLines/>
      <w:keepNext/>
      <w:spacing w:before="240" w:after="64" w:line="320" w:lineRule="auto"/>
      <w:outlineLvl w:val="6"/>
    </w:pPr>
    <w:rPr>
      <w:b/>
      <w:bCs/>
      <w:sz w:val="24"/>
      <w:szCs w:val="24"/>
    </w:rPr>
  </w:style>
  <w:style w:type="paragraph" w:styleId="696">
    <w:name w:val="Heading 8"/>
    <w:basedOn w:val="688"/>
    <w:next w:val="688"/>
    <w:link w:val="90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97">
    <w:name w:val="Heading 9"/>
    <w:basedOn w:val="688"/>
    <w:next w:val="688"/>
    <w:link w:val="906"/>
    <w:uiPriority w:val="0"/>
    <w:qFormat/>
    <w:pPr>
      <w:numPr>
        <w:ilvl w:val="8"/>
        <w:numId w:val="1"/>
      </w:numPr>
      <w:keepLines/>
      <w:keepNext/>
      <w:spacing w:before="240" w:after="64" w:line="320" w:lineRule="auto"/>
      <w:outlineLvl w:val="8"/>
    </w:pPr>
    <w:rPr>
      <w:rFonts w:ascii="Arial" w:hAnsi="Arial" w:eastAsia="黑体"/>
    </w:rPr>
  </w:style>
  <w:style w:type="character" w:styleId="698" w:default="1">
    <w:name w:val="Default Paragraph Font"/>
    <w:uiPriority w:val="1"/>
    <w:unhideWhenUsed/>
    <w:qFormat/>
  </w:style>
  <w:style w:type="table" w:styleId="699" w:default="1">
    <w:name w:val="Normal Table"/>
    <w:uiPriority w:val="99"/>
    <w:unhideWhenUsed/>
    <w:qFormat/>
    <w:tblPr>
      <w:tblCellMar>
        <w:left w:w="108" w:type="dxa"/>
        <w:top w:w="0" w:type="dxa"/>
        <w:right w:w="108" w:type="dxa"/>
        <w:bottom w:w="0" w:type="dxa"/>
      </w:tblCellMar>
    </w:tblPr>
  </w:style>
  <w:style w:type="paragraph" w:styleId="700" w:customStyle="1">
    <w:name w:val="正文首行缩进 21"/>
    <w:basedOn w:val="701"/>
    <w:next w:val="688"/>
    <w:uiPriority w:val="0"/>
    <w:qFormat/>
    <w:pPr>
      <w:ind w:firstLine="420"/>
      <w:spacing w:line="360" w:lineRule="auto"/>
    </w:pPr>
    <w:rPr>
      <w:rFonts w:ascii="宋体" w:hAnsi="宋体" w:eastAsia="宋体"/>
      <w:sz w:val="21"/>
      <w:szCs w:val="20"/>
    </w:rPr>
  </w:style>
  <w:style w:type="paragraph" w:styleId="701" w:customStyle="1">
    <w:name w:val="正文文本缩进1"/>
    <w:basedOn w:val="688"/>
    <w:next w:val="702"/>
    <w:uiPriority w:val="99"/>
    <w:unhideWhenUsed/>
    <w:qFormat/>
    <w:pPr>
      <w:ind w:left="420"/>
      <w:spacing w:after="120"/>
    </w:pPr>
  </w:style>
  <w:style w:type="paragraph" w:styleId="702" w:customStyle="1">
    <w:name w:val="寄信人地址1"/>
    <w:basedOn w:val="688"/>
    <w:uiPriority w:val="0"/>
    <w:qFormat/>
    <w:rPr>
      <w:rFonts w:ascii="Arial" w:hAnsi="Arial" w:cs="宋体"/>
    </w:rPr>
  </w:style>
  <w:style w:type="paragraph" w:styleId="703">
    <w:name w:val="Normal Indent"/>
    <w:basedOn w:val="688"/>
    <w:link w:val="899"/>
    <w:uiPriority w:val="0"/>
    <w:qFormat/>
    <w:pPr>
      <w:ind w:firstLine="420"/>
    </w:pPr>
  </w:style>
  <w:style w:type="paragraph" w:styleId="704">
    <w:name w:val="List 3"/>
    <w:basedOn w:val="688"/>
    <w:uiPriority w:val="0"/>
    <w:qFormat/>
    <w:pPr>
      <w:ind w:left="100" w:hanging="200"/>
    </w:pPr>
  </w:style>
  <w:style w:type="paragraph" w:styleId="705">
    <w:name w:val="toc 7"/>
    <w:basedOn w:val="688"/>
    <w:next w:val="688"/>
    <w:uiPriority w:val="0"/>
    <w:semiHidden/>
    <w:qFormat/>
    <w:pPr>
      <w:ind w:left="1260"/>
      <w:jc w:val="left"/>
    </w:pPr>
  </w:style>
  <w:style w:type="paragraph" w:styleId="706">
    <w:name w:val="Caption"/>
    <w:basedOn w:val="688"/>
    <w:next w:val="68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7">
    <w:name w:val="Document Map"/>
    <w:basedOn w:val="688"/>
    <w:link w:val="907"/>
    <w:uiPriority w:val="0"/>
    <w:semiHidden/>
    <w:qFormat/>
    <w:pPr>
      <w:shd w:val="clear" w:color="auto" w:fill="000080"/>
    </w:pPr>
  </w:style>
  <w:style w:type="paragraph" w:styleId="708">
    <w:name w:val="annotation text"/>
    <w:basedOn w:val="688"/>
    <w:link w:val="908"/>
    <w:uiPriority w:val="0"/>
    <w:semiHidden/>
    <w:qFormat/>
    <w:pPr>
      <w:jc w:val="left"/>
    </w:pPr>
  </w:style>
  <w:style w:type="paragraph" w:styleId="709">
    <w:name w:val="Body Text 3"/>
    <w:basedOn w:val="688"/>
    <w:link w:val="909"/>
    <w:uiPriority w:val="0"/>
    <w:qFormat/>
    <w:rPr>
      <w:rFonts w:ascii="仿宋_GB2312" w:hAnsi="Arial" w:eastAsia="仿宋_GB2312"/>
      <w:sz w:val="32"/>
      <w:szCs w:val="32"/>
    </w:rPr>
  </w:style>
  <w:style w:type="paragraph" w:styleId="710">
    <w:name w:val="Body Text"/>
    <w:basedOn w:val="688"/>
    <w:link w:val="910"/>
    <w:uiPriority w:val="0"/>
    <w:qFormat/>
    <w:rPr>
      <w:rFonts w:ascii="楷体_GB2312" w:hAnsi="Arial" w:eastAsia="楷体_GB2312"/>
      <w:sz w:val="28"/>
      <w:szCs w:val="28"/>
    </w:rPr>
  </w:style>
  <w:style w:type="paragraph" w:styleId="711">
    <w:name w:val="Body Text Indent"/>
    <w:basedOn w:val="688"/>
    <w:next w:val="712"/>
    <w:link w:val="895"/>
    <w:uiPriority w:val="0"/>
    <w:qFormat/>
    <w:pPr>
      <w:ind w:firstLine="645"/>
    </w:pPr>
    <w:rPr>
      <w:rFonts w:ascii="楷体_GB2312" w:eastAsia="楷体_GB2312"/>
      <w:sz w:val="32"/>
      <w:szCs w:val="32"/>
    </w:rPr>
  </w:style>
  <w:style w:type="paragraph" w:styleId="712">
    <w:name w:val="envelope return"/>
    <w:basedOn w:val="688"/>
    <w:uiPriority w:val="0"/>
    <w:qFormat/>
    <w:rPr>
      <w:rFonts w:ascii="Arial" w:hAnsi="Arial" w:cs="宋体"/>
    </w:rPr>
  </w:style>
  <w:style w:type="paragraph" w:styleId="713">
    <w:name w:val="List 2"/>
    <w:basedOn w:val="688"/>
    <w:uiPriority w:val="0"/>
    <w:qFormat/>
    <w:pPr>
      <w:ind w:left="100" w:hanging="200"/>
    </w:pPr>
  </w:style>
  <w:style w:type="paragraph" w:styleId="714">
    <w:name w:val="toc 5"/>
    <w:basedOn w:val="688"/>
    <w:next w:val="688"/>
    <w:uiPriority w:val="0"/>
    <w:semiHidden/>
    <w:qFormat/>
    <w:pPr>
      <w:ind w:left="840"/>
      <w:jc w:val="left"/>
    </w:pPr>
  </w:style>
  <w:style w:type="paragraph" w:styleId="715">
    <w:name w:val="toc 3"/>
    <w:basedOn w:val="688"/>
    <w:next w:val="688"/>
    <w:uiPriority w:val="0"/>
    <w:semiHidden/>
    <w:qFormat/>
    <w:pPr>
      <w:ind w:left="420"/>
      <w:jc w:val="left"/>
    </w:pPr>
    <w:rPr>
      <w:i/>
      <w:iCs/>
      <w:szCs w:val="24"/>
    </w:rPr>
  </w:style>
  <w:style w:type="paragraph" w:styleId="716">
    <w:name w:val="Plain Text"/>
    <w:basedOn w:val="688"/>
    <w:link w:val="911"/>
    <w:uiPriority w:val="0"/>
    <w:qFormat/>
    <w:rPr>
      <w:rFonts w:ascii="宋体" w:hAnsi="Courier New" w:cs="Courier New"/>
    </w:rPr>
  </w:style>
  <w:style w:type="paragraph" w:styleId="717">
    <w:name w:val="toc 8"/>
    <w:basedOn w:val="688"/>
    <w:next w:val="688"/>
    <w:uiPriority w:val="0"/>
    <w:semiHidden/>
    <w:qFormat/>
    <w:pPr>
      <w:ind w:left="1470"/>
      <w:jc w:val="left"/>
    </w:pPr>
  </w:style>
  <w:style w:type="paragraph" w:styleId="718">
    <w:name w:val="Date"/>
    <w:basedOn w:val="688"/>
    <w:next w:val="688"/>
    <w:link w:val="912"/>
    <w:uiPriority w:val="0"/>
    <w:qFormat/>
    <w:rPr>
      <w:sz w:val="24"/>
      <w:szCs w:val="24"/>
    </w:rPr>
  </w:style>
  <w:style w:type="paragraph" w:styleId="719">
    <w:name w:val="Body Text Indent 2"/>
    <w:basedOn w:val="688"/>
    <w:link w:val="913"/>
    <w:uiPriority w:val="0"/>
    <w:qFormat/>
    <w:pPr>
      <w:ind w:left="630" w:firstLine="645"/>
    </w:pPr>
    <w:rPr>
      <w:rFonts w:ascii="Arial" w:hAnsi="Arial" w:eastAsia="仿宋_GB2312" w:cs="Arial"/>
      <w:sz w:val="32"/>
      <w:szCs w:val="32"/>
    </w:rPr>
  </w:style>
  <w:style w:type="paragraph" w:styleId="720">
    <w:name w:val="endnote text"/>
    <w:basedOn w:val="688"/>
    <w:link w:val="893"/>
    <w:uiPriority w:val="99"/>
    <w:semiHidden/>
    <w:unhideWhenUsed/>
    <w:qFormat/>
    <w:pPr>
      <w:spacing w:after="0" w:line="240" w:lineRule="auto"/>
    </w:pPr>
    <w:rPr>
      <w:sz w:val="20"/>
    </w:rPr>
  </w:style>
  <w:style w:type="paragraph" w:styleId="721">
    <w:name w:val="Balloon Text"/>
    <w:basedOn w:val="688"/>
    <w:link w:val="914"/>
    <w:uiPriority w:val="0"/>
    <w:semiHidden/>
    <w:qFormat/>
    <w:rPr>
      <w:sz w:val="18"/>
      <w:szCs w:val="18"/>
    </w:rPr>
  </w:style>
  <w:style w:type="paragraph" w:styleId="722">
    <w:name w:val="Footer"/>
    <w:basedOn w:val="688"/>
    <w:link w:val="915"/>
    <w:uiPriority w:val="0"/>
    <w:qFormat/>
    <w:pPr>
      <w:jc w:val="left"/>
      <w:tabs>
        <w:tab w:val="center" w:pos="4153" w:leader="none"/>
        <w:tab w:val="right" w:pos="8306" w:leader="none"/>
      </w:tabs>
    </w:pPr>
    <w:rPr>
      <w:sz w:val="18"/>
      <w:szCs w:val="18"/>
    </w:rPr>
  </w:style>
  <w:style w:type="paragraph" w:styleId="723">
    <w:name w:val="Header"/>
    <w:basedOn w:val="688"/>
    <w:link w:val="916"/>
    <w:uiPriority w:val="0"/>
    <w:qFormat/>
    <w:pPr>
      <w:jc w:val="center"/>
      <w:tabs>
        <w:tab w:val="center" w:pos="4153" w:leader="none"/>
        <w:tab w:val="right" w:pos="8306" w:leader="none"/>
      </w:tabs>
      <w:pBdr>
        <w:bottom w:val="single" w:color="auto" w:sz="6" w:space="1"/>
      </w:pBdr>
    </w:pPr>
    <w:rPr>
      <w:sz w:val="18"/>
      <w:szCs w:val="18"/>
    </w:rPr>
  </w:style>
  <w:style w:type="paragraph" w:styleId="724">
    <w:name w:val="toc 1"/>
    <w:basedOn w:val="688"/>
    <w:next w:val="688"/>
    <w:uiPriority w:val="0"/>
    <w:semiHidden/>
    <w:qFormat/>
    <w:pPr>
      <w:jc w:val="left"/>
      <w:spacing w:before="120" w:after="120" w:line="400" w:lineRule="exact"/>
      <w:tabs>
        <w:tab w:val="right" w:pos="8720" w:leader="dot"/>
      </w:tabs>
    </w:pPr>
    <w:rPr>
      <w:rFonts w:ascii="宋体" w:hAnsi="宋体"/>
      <w:caps/>
      <w:sz w:val="24"/>
      <w:szCs w:val="24"/>
      <w:lang w:val="en-US" w:eastAsia="zh-CN"/>
    </w:rPr>
  </w:style>
  <w:style w:type="paragraph" w:styleId="725">
    <w:name w:val="toc 4"/>
    <w:basedOn w:val="688"/>
    <w:next w:val="688"/>
    <w:uiPriority w:val="0"/>
    <w:semiHidden/>
    <w:qFormat/>
    <w:pPr>
      <w:ind w:left="630"/>
      <w:jc w:val="left"/>
    </w:pPr>
  </w:style>
  <w:style w:type="paragraph" w:styleId="726">
    <w:name w:val="Subtitle"/>
    <w:basedOn w:val="688"/>
    <w:next w:val="688"/>
    <w:link w:val="759"/>
    <w:uiPriority w:val="11"/>
    <w:qFormat/>
    <w:pPr>
      <w:spacing w:before="200" w:after="200"/>
    </w:pPr>
    <w:rPr>
      <w:sz w:val="24"/>
      <w:szCs w:val="24"/>
    </w:rPr>
  </w:style>
  <w:style w:type="paragraph" w:styleId="727">
    <w:name w:val="List"/>
    <w:basedOn w:val="688"/>
    <w:uiPriority w:val="0"/>
    <w:qFormat/>
    <w:pPr>
      <w:ind w:left="200" w:hanging="200"/>
    </w:pPr>
  </w:style>
  <w:style w:type="paragraph" w:styleId="728">
    <w:name w:val="footnote text"/>
    <w:basedOn w:val="688"/>
    <w:link w:val="892"/>
    <w:uiPriority w:val="99"/>
    <w:semiHidden/>
    <w:unhideWhenUsed/>
    <w:qFormat/>
    <w:pPr>
      <w:spacing w:after="40" w:line="240" w:lineRule="auto"/>
    </w:pPr>
    <w:rPr>
      <w:sz w:val="18"/>
    </w:rPr>
  </w:style>
  <w:style w:type="paragraph" w:styleId="729">
    <w:name w:val="toc 6"/>
    <w:basedOn w:val="688"/>
    <w:next w:val="688"/>
    <w:uiPriority w:val="0"/>
    <w:semiHidden/>
    <w:qFormat/>
    <w:pPr>
      <w:ind w:left="1050"/>
      <w:jc w:val="left"/>
    </w:pPr>
  </w:style>
  <w:style w:type="paragraph" w:styleId="730">
    <w:name w:val="Body Text Indent 3"/>
    <w:basedOn w:val="688"/>
    <w:link w:val="917"/>
    <w:uiPriority w:val="0"/>
    <w:qFormat/>
    <w:pPr>
      <w:ind w:left="645" w:firstLine="645"/>
    </w:pPr>
    <w:rPr>
      <w:rFonts w:ascii="Arial" w:hAnsi="Arial" w:eastAsia="仿宋_GB2312" w:cs="Arial"/>
      <w:color w:val="ffff00"/>
      <w:sz w:val="32"/>
      <w:szCs w:val="32"/>
    </w:rPr>
  </w:style>
  <w:style w:type="paragraph" w:styleId="731">
    <w:name w:val="table of figures"/>
    <w:basedOn w:val="688"/>
    <w:next w:val="688"/>
    <w:uiPriority w:val="0"/>
    <w:semiHidden/>
    <w:qFormat/>
    <w:pPr>
      <w:ind w:left="840" w:hanging="420"/>
    </w:pPr>
  </w:style>
  <w:style w:type="paragraph" w:styleId="732">
    <w:name w:val="toc 2"/>
    <w:basedOn w:val="688"/>
    <w:next w:val="688"/>
    <w:uiPriority w:val="0"/>
    <w:semiHidden/>
    <w:qFormat/>
    <w:pPr>
      <w:ind w:left="210"/>
      <w:jc w:val="left"/>
    </w:pPr>
    <w:rPr>
      <w:smallCaps/>
      <w:szCs w:val="24"/>
    </w:rPr>
  </w:style>
  <w:style w:type="paragraph" w:styleId="733">
    <w:name w:val="toc 9"/>
    <w:basedOn w:val="688"/>
    <w:next w:val="688"/>
    <w:uiPriority w:val="0"/>
    <w:semiHidden/>
    <w:qFormat/>
    <w:pPr>
      <w:ind w:left="1680"/>
      <w:jc w:val="left"/>
    </w:pPr>
  </w:style>
  <w:style w:type="paragraph" w:styleId="734">
    <w:name w:val="Body Text 2"/>
    <w:basedOn w:val="688"/>
    <w:link w:val="918"/>
    <w:uiPriority w:val="0"/>
    <w:qFormat/>
    <w:pPr>
      <w:jc w:val="center"/>
      <w:widowControl/>
    </w:pPr>
    <w:rPr>
      <w:rFonts w:ascii="楷体_GB2312" w:eastAsia="楷体_GB2312"/>
      <w:sz w:val="28"/>
      <w:szCs w:val="28"/>
    </w:rPr>
  </w:style>
  <w:style w:type="paragraph" w:styleId="735">
    <w:name w:val="Normal (Web)"/>
    <w:basedOn w:val="688"/>
    <w:uiPriority w:val="99"/>
    <w:qFormat/>
    <w:pPr>
      <w:jc w:val="left"/>
      <w:spacing w:before="100" w:beforeAutospacing="1" w:after="100" w:afterAutospacing="1"/>
      <w:widowControl/>
    </w:pPr>
    <w:rPr>
      <w:rFonts w:ascii="宋体" w:hAnsi="宋体" w:cs="宋体"/>
      <w:sz w:val="24"/>
      <w:szCs w:val="24"/>
    </w:rPr>
  </w:style>
  <w:style w:type="paragraph" w:styleId="736">
    <w:name w:val="index 1"/>
    <w:basedOn w:val="688"/>
    <w:next w:val="688"/>
    <w:uiPriority w:val="0"/>
    <w:semiHidden/>
    <w:qFormat/>
    <w:pPr>
      <w:spacing w:line="240" w:lineRule="atLeast"/>
    </w:pPr>
    <w:rPr>
      <w:b/>
      <w:bCs/>
    </w:rPr>
  </w:style>
  <w:style w:type="paragraph" w:styleId="737">
    <w:name w:val="Title"/>
    <w:basedOn w:val="688"/>
    <w:next w:val="688"/>
    <w:link w:val="758"/>
    <w:uiPriority w:val="10"/>
    <w:qFormat/>
    <w:pPr>
      <w:contextualSpacing/>
      <w:spacing w:before="300" w:after="200"/>
    </w:pPr>
    <w:rPr>
      <w:sz w:val="48"/>
      <w:szCs w:val="48"/>
    </w:rPr>
  </w:style>
  <w:style w:type="paragraph" w:styleId="738">
    <w:name w:val="annotation subject"/>
    <w:basedOn w:val="708"/>
    <w:next w:val="708"/>
    <w:link w:val="919"/>
    <w:uiPriority w:val="0"/>
    <w:semiHidden/>
    <w:qFormat/>
    <w:rPr>
      <w:b/>
      <w:bCs/>
    </w:rPr>
  </w:style>
  <w:style w:type="paragraph" w:styleId="739">
    <w:name w:val="Body Text First Indent"/>
    <w:basedOn w:val="688"/>
    <w:link w:val="920"/>
    <w:uiPriority w:val="0"/>
    <w:qFormat/>
    <w:pPr>
      <w:ind w:firstLine="200"/>
      <w:spacing w:line="360" w:lineRule="auto"/>
    </w:pPr>
    <w:rPr>
      <w:rFonts w:ascii="仿宋_GB2312" w:eastAsia="仿宋_GB2312"/>
      <w:sz w:val="30"/>
      <w:szCs w:val="30"/>
    </w:rPr>
  </w:style>
  <w:style w:type="paragraph" w:styleId="740">
    <w:name w:val="Body Text First Indent 2"/>
    <w:basedOn w:val="711"/>
    <w:next w:val="688"/>
    <w:link w:val="896"/>
    <w:uiPriority w:val="0"/>
    <w:qFormat/>
    <w:pPr>
      <w:ind w:firstLine="420"/>
      <w:spacing w:line="360" w:lineRule="auto"/>
    </w:pPr>
    <w:rPr>
      <w:rFonts w:ascii="宋体" w:hAnsi="宋体" w:eastAsia="宋体"/>
      <w:sz w:val="21"/>
      <w:szCs w:val="20"/>
    </w:rPr>
  </w:style>
  <w:style w:type="table" w:styleId="741">
    <w:name w:val="Table Grid"/>
    <w:basedOn w:val="6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2">
    <w:name w:val="Strong"/>
    <w:uiPriority w:val="0"/>
    <w:qFormat/>
    <w:rPr>
      <w:b/>
      <w:bCs/>
    </w:rPr>
  </w:style>
  <w:style w:type="character" w:styleId="743">
    <w:name w:val="endnote reference"/>
    <w:basedOn w:val="698"/>
    <w:uiPriority w:val="99"/>
    <w:semiHidden/>
    <w:unhideWhenUsed/>
    <w:qFormat/>
    <w:rPr>
      <w:vertAlign w:val="superscript"/>
    </w:rPr>
  </w:style>
  <w:style w:type="character" w:styleId="744">
    <w:name w:val="page number"/>
    <w:uiPriority w:val="0"/>
    <w:qFormat/>
  </w:style>
  <w:style w:type="character" w:styleId="745">
    <w:name w:val="FollowedHyperlink"/>
    <w:uiPriority w:val="0"/>
    <w:qFormat/>
    <w:rPr>
      <w:color w:val="800080"/>
      <w:u w:val="single"/>
    </w:rPr>
  </w:style>
  <w:style w:type="character" w:styleId="746">
    <w:name w:val="Hyperlink"/>
    <w:uiPriority w:val="0"/>
    <w:qFormat/>
    <w:rPr>
      <w:color w:val="0000ff"/>
      <w:u w:val="single"/>
    </w:rPr>
  </w:style>
  <w:style w:type="character" w:styleId="747">
    <w:name w:val="annotation reference"/>
    <w:uiPriority w:val="0"/>
    <w:semiHidden/>
    <w:qFormat/>
    <w:rPr>
      <w:sz w:val="21"/>
      <w:szCs w:val="21"/>
    </w:rPr>
  </w:style>
  <w:style w:type="character" w:styleId="748">
    <w:name w:val="footnote reference"/>
    <w:basedOn w:val="698"/>
    <w:uiPriority w:val="99"/>
    <w:unhideWhenUsed/>
    <w:qFormat/>
    <w:rPr>
      <w:vertAlign w:val="superscript"/>
    </w:rPr>
  </w:style>
  <w:style w:type="character" w:styleId="749" w:customStyle="1">
    <w:name w:val="Heading 1 Char"/>
    <w:basedOn w:val="698"/>
    <w:uiPriority w:val="9"/>
    <w:qFormat/>
    <w:rPr>
      <w:rFonts w:ascii="Arial" w:hAnsi="Arial" w:eastAsia="Arial" w:cs="Arial"/>
      <w:sz w:val="40"/>
      <w:szCs w:val="40"/>
    </w:rPr>
  </w:style>
  <w:style w:type="character" w:styleId="750" w:customStyle="1">
    <w:name w:val="Heading 2 Char"/>
    <w:basedOn w:val="698"/>
    <w:uiPriority w:val="9"/>
    <w:qFormat/>
    <w:rPr>
      <w:rFonts w:ascii="Arial" w:hAnsi="Arial" w:eastAsia="Arial" w:cs="Arial"/>
      <w:sz w:val="34"/>
    </w:rPr>
  </w:style>
  <w:style w:type="character" w:styleId="751" w:customStyle="1">
    <w:name w:val="Heading 3 Char"/>
    <w:basedOn w:val="698"/>
    <w:uiPriority w:val="9"/>
    <w:qFormat/>
    <w:rPr>
      <w:rFonts w:ascii="Arial" w:hAnsi="Arial" w:eastAsia="Arial" w:cs="Arial"/>
      <w:sz w:val="30"/>
      <w:szCs w:val="30"/>
    </w:rPr>
  </w:style>
  <w:style w:type="character" w:styleId="752" w:customStyle="1">
    <w:name w:val="Heading 4 Char"/>
    <w:basedOn w:val="698"/>
    <w:uiPriority w:val="9"/>
    <w:qFormat/>
    <w:rPr>
      <w:rFonts w:ascii="Arial" w:hAnsi="Arial" w:eastAsia="Arial" w:cs="Arial"/>
      <w:b/>
      <w:bCs/>
      <w:sz w:val="26"/>
      <w:szCs w:val="26"/>
    </w:rPr>
  </w:style>
  <w:style w:type="character" w:styleId="753" w:customStyle="1">
    <w:name w:val="Heading 5 Char"/>
    <w:basedOn w:val="698"/>
    <w:uiPriority w:val="9"/>
    <w:qFormat/>
    <w:rPr>
      <w:rFonts w:ascii="Arial" w:hAnsi="Arial" w:eastAsia="Arial" w:cs="Arial"/>
      <w:b/>
      <w:bCs/>
      <w:sz w:val="24"/>
      <w:szCs w:val="24"/>
    </w:rPr>
  </w:style>
  <w:style w:type="character" w:styleId="754" w:customStyle="1">
    <w:name w:val="Heading 6 Char"/>
    <w:basedOn w:val="698"/>
    <w:uiPriority w:val="9"/>
    <w:qFormat/>
    <w:rPr>
      <w:rFonts w:ascii="Arial" w:hAnsi="Arial" w:eastAsia="Arial" w:cs="Arial"/>
      <w:b/>
      <w:bCs/>
      <w:sz w:val="22"/>
      <w:szCs w:val="22"/>
    </w:rPr>
  </w:style>
  <w:style w:type="character" w:styleId="755" w:customStyle="1">
    <w:name w:val="Heading 7 Char"/>
    <w:basedOn w:val="698"/>
    <w:uiPriority w:val="9"/>
    <w:qFormat/>
    <w:rPr>
      <w:rFonts w:ascii="Arial" w:hAnsi="Arial" w:eastAsia="Arial" w:cs="Arial"/>
      <w:b/>
      <w:bCs/>
      <w:i/>
      <w:iCs/>
      <w:sz w:val="22"/>
      <w:szCs w:val="22"/>
    </w:rPr>
  </w:style>
  <w:style w:type="character" w:styleId="756" w:customStyle="1">
    <w:name w:val="Heading 8 Char"/>
    <w:basedOn w:val="698"/>
    <w:uiPriority w:val="9"/>
    <w:qFormat/>
    <w:rPr>
      <w:rFonts w:ascii="Arial" w:hAnsi="Arial" w:eastAsia="Arial" w:cs="Arial"/>
      <w:i/>
      <w:iCs/>
      <w:sz w:val="22"/>
      <w:szCs w:val="22"/>
    </w:rPr>
  </w:style>
  <w:style w:type="character" w:styleId="757" w:customStyle="1">
    <w:name w:val="Heading 9 Char"/>
    <w:basedOn w:val="698"/>
    <w:uiPriority w:val="9"/>
    <w:qFormat/>
    <w:rPr>
      <w:rFonts w:ascii="Arial" w:hAnsi="Arial" w:eastAsia="Arial" w:cs="Arial"/>
      <w:i/>
      <w:iCs/>
      <w:sz w:val="21"/>
      <w:szCs w:val="21"/>
    </w:rPr>
  </w:style>
  <w:style w:type="character" w:styleId="758" w:customStyle="1">
    <w:name w:val="Title Char"/>
    <w:basedOn w:val="698"/>
    <w:link w:val="737"/>
    <w:uiPriority w:val="10"/>
    <w:qFormat/>
    <w:rPr>
      <w:sz w:val="48"/>
      <w:szCs w:val="48"/>
    </w:rPr>
  </w:style>
  <w:style w:type="character" w:styleId="759" w:customStyle="1">
    <w:name w:val="Subtitle Char"/>
    <w:basedOn w:val="698"/>
    <w:link w:val="726"/>
    <w:uiPriority w:val="11"/>
    <w:qFormat/>
    <w:rPr>
      <w:sz w:val="24"/>
      <w:szCs w:val="24"/>
    </w:rPr>
  </w:style>
  <w:style w:type="paragraph" w:styleId="760">
    <w:name w:val="Quote"/>
    <w:basedOn w:val="688"/>
    <w:next w:val="688"/>
    <w:link w:val="761"/>
    <w:uiPriority w:val="29"/>
    <w:qFormat/>
    <w:pPr>
      <w:ind w:left="720" w:right="720"/>
    </w:pPr>
    <w:rPr>
      <w:i/>
    </w:rPr>
  </w:style>
  <w:style w:type="character" w:styleId="761" w:customStyle="1">
    <w:name w:val="Quote Char"/>
    <w:link w:val="760"/>
    <w:uiPriority w:val="29"/>
    <w:qFormat/>
    <w:rPr>
      <w:i/>
    </w:rPr>
  </w:style>
  <w:style w:type="paragraph" w:styleId="762">
    <w:name w:val="Intense Quote"/>
    <w:basedOn w:val="688"/>
    <w:next w:val="688"/>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Intense Quote Char"/>
    <w:link w:val="762"/>
    <w:uiPriority w:val="30"/>
    <w:qFormat/>
    <w:rPr>
      <w:i/>
    </w:rPr>
  </w:style>
  <w:style w:type="character" w:styleId="764" w:customStyle="1">
    <w:name w:val="Header Char"/>
    <w:basedOn w:val="698"/>
    <w:uiPriority w:val="99"/>
    <w:qFormat/>
  </w:style>
  <w:style w:type="character" w:styleId="765" w:customStyle="1">
    <w:name w:val="Footer Char"/>
    <w:basedOn w:val="698"/>
    <w:uiPriority w:val="99"/>
    <w:qFormat/>
  </w:style>
  <w:style w:type="character" w:styleId="766" w:customStyle="1">
    <w:name w:val="Caption Char"/>
    <w:uiPriority w:val="99"/>
    <w:qFormat/>
  </w:style>
  <w:style w:type="table" w:styleId="767" w:customStyle="1">
    <w:name w:val="Table Grid Light"/>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6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6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basedOn w:val="69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basedOn w:val="69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basedOn w:val="69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basedOn w:val="69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basedOn w:val="69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basedOn w:val="69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basedOn w:val="69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basedOn w:val="69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basedOn w:val="69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basedOn w:val="69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basedOn w:val="69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6" w:customStyle="1">
    <w:name w:val="Grid Table 2 - Accent 6"/>
    <w:basedOn w:val="69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7" w:customStyle="1">
    <w:name w:val="Grid Table 3"/>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basedOn w:val="69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basedOn w:val="69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basedOn w:val="69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basedOn w:val="69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basedOn w:val="69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basedOn w:val="69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basedOn w:val="6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basedOn w:val="69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6" w:customStyle="1">
    <w:name w:val="Grid Table 4 - Accent 2"/>
    <w:basedOn w:val="69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7" w:customStyle="1">
    <w:name w:val="Grid Table 4 - Accent 3"/>
    <w:basedOn w:val="69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8" w:customStyle="1">
    <w:name w:val="Grid Table 4 - Accent 4"/>
    <w:basedOn w:val="69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9" w:customStyle="1">
    <w:name w:val="Grid Table 4 - Accent 5"/>
    <w:basedOn w:val="69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0" w:customStyle="1">
    <w:name w:val="Grid Table 4 - Accent 6"/>
    <w:basedOn w:val="69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1" w:customStyle="1">
    <w:name w:val="Grid Table 5 Dark"/>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3" w:customStyle="1">
    <w:name w:val="Grid Table 5 Dark - Accent 2"/>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4" w:customStyle="1">
    <w:name w:val="Grid Table 5 Dark - Accent 3"/>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5" w:customStyle="1">
    <w:name w:val="Grid Table 5 Dark- Accent 4"/>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6" w:customStyle="1">
    <w:name w:val="Grid Table 5 Dark - Accent 5"/>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7" w:customStyle="1">
    <w:name w:val="Grid Table 5 Dark - Accent 6"/>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8" w:customStyle="1">
    <w:name w:val="Grid Table 6 Colorful"/>
    <w:basedOn w:val="6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basedOn w:val="69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0" w:customStyle="1">
    <w:name w:val="Grid Table 6 Colorful - Accent 2"/>
    <w:basedOn w:val="69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1" w:customStyle="1">
    <w:name w:val="Grid Table 6 Colorful - Accent 3"/>
    <w:basedOn w:val="69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2" w:customStyle="1">
    <w:name w:val="Grid Table 6 Colorful - Accent 4"/>
    <w:basedOn w:val="69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3" w:customStyle="1">
    <w:name w:val="Grid Table 6 Colorful - Accent 5"/>
    <w:basedOn w:val="69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4" w:customStyle="1">
    <w:name w:val="Grid Table 6 Colorful - Accent 6"/>
    <w:basedOn w:val="69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5" w:customStyle="1">
    <w:name w:val="Grid Table 7 Colorful"/>
    <w:basedOn w:val="6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basedOn w:val="69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basedOn w:val="69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basedOn w:val="69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basedOn w:val="69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basedOn w:val="69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basedOn w:val="69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basedOn w:val="6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basedOn w:val="69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4" w:customStyle="1">
    <w:name w:val="List Table 1 Light - Accent 2"/>
    <w:basedOn w:val="69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5" w:customStyle="1">
    <w:name w:val="List Table 1 Light - Accent 3"/>
    <w:basedOn w:val="69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6" w:customStyle="1">
    <w:name w:val="List Table 1 Light - Accent 4"/>
    <w:basedOn w:val="69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7" w:customStyle="1">
    <w:name w:val="List Table 1 Light - Accent 5"/>
    <w:basedOn w:val="69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8" w:customStyle="1">
    <w:name w:val="List Table 1 Light - Accent 6"/>
    <w:basedOn w:val="69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9" w:customStyle="1">
    <w:name w:val="List Table 2"/>
    <w:basedOn w:val="6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basedOn w:val="69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1" w:customStyle="1">
    <w:name w:val="List Table 2 - Accent 2"/>
    <w:basedOn w:val="69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2" w:customStyle="1">
    <w:name w:val="List Table 2 - Accent 3"/>
    <w:basedOn w:val="69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3" w:customStyle="1">
    <w:name w:val="List Table 2 - Accent 4"/>
    <w:basedOn w:val="69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4" w:customStyle="1">
    <w:name w:val="List Table 2 - Accent 5"/>
    <w:basedOn w:val="69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5" w:customStyle="1">
    <w:name w:val="List Table 2 - Accent 6"/>
    <w:basedOn w:val="69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6" w:customStyle="1">
    <w:name w:val="List Table 3"/>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basedOn w:val="69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8" w:customStyle="1">
    <w:name w:val="List Table 3 - Accent 2"/>
    <w:basedOn w:val="69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9" w:customStyle="1">
    <w:name w:val="List Table 3 - Accent 3"/>
    <w:basedOn w:val="69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0" w:customStyle="1">
    <w:name w:val="List Table 3 - Accent 4"/>
    <w:basedOn w:val="69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1" w:customStyle="1">
    <w:name w:val="List Table 3 - Accent 5"/>
    <w:basedOn w:val="69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2" w:customStyle="1">
    <w:name w:val="List Table 3 - Accent 6"/>
    <w:basedOn w:val="69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3" w:customStyle="1">
    <w:name w:val="List Table 4"/>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basedOn w:val="69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5" w:customStyle="1">
    <w:name w:val="List Table 4 - Accent 2"/>
    <w:basedOn w:val="69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6" w:customStyle="1">
    <w:name w:val="List Table 4 - Accent 3"/>
    <w:basedOn w:val="69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7" w:customStyle="1">
    <w:name w:val="List Table 4 - Accent 4"/>
    <w:basedOn w:val="69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8" w:customStyle="1">
    <w:name w:val="List Table 4 - Accent 5"/>
    <w:basedOn w:val="69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9" w:customStyle="1">
    <w:name w:val="List Table 4 - Accent 6"/>
    <w:basedOn w:val="69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0" w:customStyle="1">
    <w:name w:val="List Table 5 Dark"/>
    <w:basedOn w:val="6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basedOn w:val="69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basedOn w:val="69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basedOn w:val="69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basedOn w:val="69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basedOn w:val="69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basedOn w:val="69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basedOn w:val="6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basedOn w:val="69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9" w:customStyle="1">
    <w:name w:val="List Table 6 Colorful - Accent 2"/>
    <w:basedOn w:val="69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0" w:customStyle="1">
    <w:name w:val="List Table 6 Colorful - Accent 3"/>
    <w:basedOn w:val="69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1" w:customStyle="1">
    <w:name w:val="List Table 6 Colorful - Accent 4"/>
    <w:basedOn w:val="69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2" w:customStyle="1">
    <w:name w:val="List Table 6 Colorful - Accent 5"/>
    <w:basedOn w:val="69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3" w:customStyle="1">
    <w:name w:val="List Table 6 Colorful - Accent 6"/>
    <w:basedOn w:val="69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4" w:customStyle="1">
    <w:name w:val="List Table 7 Colorful"/>
    <w:basedOn w:val="6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basedOn w:val="69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basedOn w:val="69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basedOn w:val="69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basedOn w:val="69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basedOn w:val="699"/>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basedOn w:val="69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1" w:customStyle="1">
    <w:name w:val="Lined - Accent"/>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3" w:customStyle="1">
    <w:name w:val="Lined - Accent 2"/>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4" w:customStyle="1">
    <w:name w:val="Lined - Accent 3"/>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5" w:customStyle="1">
    <w:name w:val="Lined - Accent 4"/>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6" w:customStyle="1">
    <w:name w:val="Lined - Accent 5"/>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7" w:customStyle="1">
    <w:name w:val="Lined - Accent 6"/>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8" w:customStyle="1">
    <w:name w:val="Bordered &amp; Lined - Accent"/>
    <w:basedOn w:val="69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basedOn w:val="69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0" w:customStyle="1">
    <w:name w:val="Bordered &amp; Lined - Accent 2"/>
    <w:basedOn w:val="69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1" w:customStyle="1">
    <w:name w:val="Bordered &amp; Lined - Accent 3"/>
    <w:basedOn w:val="69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2" w:customStyle="1">
    <w:name w:val="Bordered &amp; Lined - Accent 4"/>
    <w:basedOn w:val="69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3" w:customStyle="1">
    <w:name w:val="Bordered &amp; Lined - Accent 5"/>
    <w:basedOn w:val="69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4" w:customStyle="1">
    <w:name w:val="Bordered &amp; Lined - Accent 6"/>
    <w:basedOn w:val="69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5" w:customStyle="1">
    <w:name w:val="Bordered"/>
    <w:basedOn w:val="69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basedOn w:val="69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7" w:customStyle="1">
    <w:name w:val="Bordered - Accent 2"/>
    <w:basedOn w:val="69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8" w:customStyle="1">
    <w:name w:val="Bordered - Accent 3"/>
    <w:basedOn w:val="69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9" w:customStyle="1">
    <w:name w:val="Bordered - Accent 4"/>
    <w:basedOn w:val="69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0" w:customStyle="1">
    <w:name w:val="Bordered - Accent 5"/>
    <w:basedOn w:val="69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1" w:customStyle="1">
    <w:name w:val="Bordered - Accent 6"/>
    <w:basedOn w:val="69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2" w:customStyle="1">
    <w:name w:val="Footnote Text Char"/>
    <w:link w:val="728"/>
    <w:uiPriority w:val="99"/>
    <w:qFormat/>
    <w:rPr>
      <w:sz w:val="18"/>
    </w:rPr>
  </w:style>
  <w:style w:type="character" w:styleId="893" w:customStyle="1">
    <w:name w:val="Endnote Text Char"/>
    <w:link w:val="720"/>
    <w:uiPriority w:val="99"/>
    <w:qFormat/>
    <w:rPr>
      <w:sz w:val="20"/>
    </w:rPr>
  </w:style>
  <w:style w:type="paragraph" w:styleId="894" w:customStyle="1">
    <w:name w:val="TOC Heading"/>
    <w:uiPriority w:val="39"/>
    <w:unhideWhenUsed/>
    <w:qFormat/>
    <w:rPr>
      <w:rFonts w:hint="default" w:ascii="Times New Roman" w:hAnsi="Times New Roman" w:eastAsia="宋体" w:cs="Times New Roman"/>
    </w:rPr>
  </w:style>
  <w:style w:type="character" w:styleId="895" w:customStyle="1">
    <w:name w:val="正文文本缩进 Char"/>
    <w:link w:val="711"/>
    <w:uiPriority w:val="0"/>
    <w:qFormat/>
    <w:rPr>
      <w:rFonts w:ascii="楷体_GB2312" w:hAnsi="Times New Roman" w:eastAsia="楷体_GB2312" w:cs="Times New Roman"/>
      <w:sz w:val="32"/>
      <w:szCs w:val="32"/>
    </w:rPr>
  </w:style>
  <w:style w:type="character" w:styleId="896" w:customStyle="1">
    <w:name w:val="正文首行缩进 2 Char"/>
    <w:link w:val="740"/>
    <w:uiPriority w:val="0"/>
    <w:qFormat/>
    <w:rPr>
      <w:rFonts w:ascii="宋体" w:hAnsi="宋体" w:eastAsia="宋体" w:cs="Times New Roman"/>
      <w:sz w:val="32"/>
      <w:szCs w:val="20"/>
    </w:rPr>
  </w:style>
  <w:style w:type="character" w:styleId="897" w:customStyle="1">
    <w:name w:val="标题 1 Char"/>
    <w:link w:val="689"/>
    <w:uiPriority w:val="0"/>
    <w:qFormat/>
    <w:rPr>
      <w:rFonts w:ascii="楷体_GB2312" w:hAnsi="Times New Roman" w:eastAsia="楷体_GB2312" w:cs="Times New Roman"/>
      <w:sz w:val="28"/>
      <w:szCs w:val="28"/>
    </w:rPr>
  </w:style>
  <w:style w:type="character" w:styleId="898" w:customStyle="1">
    <w:name w:val="标题 2 Char"/>
    <w:link w:val="690"/>
    <w:uiPriority w:val="0"/>
    <w:qFormat/>
    <w:rPr>
      <w:rFonts w:ascii="Arial" w:hAnsi="Arial" w:eastAsia="幼圆" w:cs="Arial"/>
      <w:b/>
      <w:bCs/>
      <w:sz w:val="44"/>
      <w:szCs w:val="44"/>
    </w:rPr>
  </w:style>
  <w:style w:type="character" w:styleId="899" w:customStyle="1">
    <w:name w:val="正文缩进 Char"/>
    <w:link w:val="703"/>
    <w:uiPriority w:val="0"/>
    <w:qFormat/>
    <w:rPr>
      <w:rFonts w:ascii="Times New Roman" w:hAnsi="Times New Roman" w:eastAsia="宋体" w:cs="Times New Roman"/>
      <w:szCs w:val="21"/>
    </w:rPr>
  </w:style>
  <w:style w:type="character" w:styleId="900" w:customStyle="1">
    <w:name w:val="标题 3 Char"/>
    <w:link w:val="691"/>
    <w:uiPriority w:val="0"/>
    <w:qFormat/>
    <w:rPr>
      <w:rFonts w:ascii="Times New Roman" w:hAnsi="Times New Roman" w:eastAsia="宋体" w:cs="Times New Roman"/>
      <w:b/>
      <w:bCs/>
      <w:sz w:val="32"/>
      <w:szCs w:val="32"/>
    </w:rPr>
  </w:style>
  <w:style w:type="character" w:styleId="901" w:customStyle="1">
    <w:name w:val="标题 4 Char"/>
    <w:link w:val="692"/>
    <w:uiPriority w:val="0"/>
    <w:qFormat/>
    <w:rPr>
      <w:rFonts w:ascii="Arial" w:hAnsi="Arial" w:eastAsia="黑体" w:cs="Arial"/>
      <w:b/>
      <w:bCs/>
      <w:sz w:val="28"/>
      <w:szCs w:val="28"/>
    </w:rPr>
  </w:style>
  <w:style w:type="character" w:styleId="902" w:customStyle="1">
    <w:name w:val="标题 5 Char"/>
    <w:link w:val="693"/>
    <w:uiPriority w:val="0"/>
    <w:qFormat/>
    <w:rPr>
      <w:rFonts w:ascii="宋体" w:hAnsi="Times New Roman" w:eastAsia="宋体" w:cs="Times New Roman"/>
      <w:color w:val="000000"/>
      <w:sz w:val="28"/>
      <w:szCs w:val="28"/>
    </w:rPr>
  </w:style>
  <w:style w:type="character" w:styleId="903" w:customStyle="1">
    <w:name w:val="标题 6 Char"/>
    <w:link w:val="694"/>
    <w:uiPriority w:val="0"/>
    <w:qFormat/>
    <w:rPr>
      <w:rFonts w:ascii="Arial" w:hAnsi="Arial" w:eastAsia="黑体" w:cs="Times New Roman"/>
      <w:b/>
      <w:bCs/>
      <w:sz w:val="24"/>
      <w:szCs w:val="24"/>
    </w:rPr>
  </w:style>
  <w:style w:type="character" w:styleId="904" w:customStyle="1">
    <w:name w:val="标题 7 Char"/>
    <w:link w:val="695"/>
    <w:uiPriority w:val="0"/>
    <w:qFormat/>
    <w:rPr>
      <w:rFonts w:ascii="Times New Roman" w:hAnsi="Times New Roman" w:eastAsia="宋体" w:cs="Times New Roman"/>
      <w:b/>
      <w:bCs/>
      <w:sz w:val="24"/>
      <w:szCs w:val="24"/>
    </w:rPr>
  </w:style>
  <w:style w:type="character" w:styleId="905" w:customStyle="1">
    <w:name w:val="标题 8 Char"/>
    <w:link w:val="696"/>
    <w:uiPriority w:val="0"/>
    <w:qFormat/>
    <w:rPr>
      <w:rFonts w:ascii="Arial" w:hAnsi="Arial" w:eastAsia="黑体" w:cs="Times New Roman"/>
      <w:sz w:val="24"/>
      <w:szCs w:val="24"/>
    </w:rPr>
  </w:style>
  <w:style w:type="character" w:styleId="906" w:customStyle="1">
    <w:name w:val="标题 9 Char"/>
    <w:link w:val="697"/>
    <w:uiPriority w:val="0"/>
    <w:qFormat/>
    <w:rPr>
      <w:rFonts w:ascii="Arial" w:hAnsi="Arial" w:eastAsia="黑体" w:cs="Times New Roman"/>
      <w:szCs w:val="21"/>
    </w:rPr>
  </w:style>
  <w:style w:type="character" w:styleId="907" w:customStyle="1">
    <w:name w:val="文档结构图 Char"/>
    <w:link w:val="707"/>
    <w:uiPriority w:val="0"/>
    <w:semiHidden/>
    <w:qFormat/>
    <w:rPr>
      <w:rFonts w:ascii="Times New Roman" w:hAnsi="Times New Roman" w:eastAsia="宋体" w:cs="Times New Roman"/>
      <w:szCs w:val="21"/>
      <w:shd w:val="clear" w:color="auto" w:fill="000080"/>
    </w:rPr>
  </w:style>
  <w:style w:type="character" w:styleId="908" w:customStyle="1">
    <w:name w:val="批注文字 Char"/>
    <w:link w:val="708"/>
    <w:uiPriority w:val="0"/>
    <w:semiHidden/>
    <w:qFormat/>
    <w:rPr>
      <w:rFonts w:ascii="Times New Roman" w:hAnsi="Times New Roman" w:eastAsia="宋体" w:cs="Times New Roman"/>
      <w:szCs w:val="21"/>
    </w:rPr>
  </w:style>
  <w:style w:type="character" w:styleId="909" w:customStyle="1">
    <w:name w:val="正文文本 3 Char"/>
    <w:link w:val="709"/>
    <w:uiPriority w:val="0"/>
    <w:qFormat/>
    <w:rPr>
      <w:rFonts w:ascii="仿宋_GB2312" w:hAnsi="Arial" w:eastAsia="仿宋_GB2312" w:cs="Times New Roman"/>
      <w:sz w:val="32"/>
      <w:szCs w:val="32"/>
    </w:rPr>
  </w:style>
  <w:style w:type="character" w:styleId="910" w:customStyle="1">
    <w:name w:val="正文文本 Char"/>
    <w:link w:val="710"/>
    <w:uiPriority w:val="0"/>
    <w:qFormat/>
    <w:rPr>
      <w:rFonts w:ascii="楷体_GB2312" w:hAnsi="Arial" w:eastAsia="楷体_GB2312" w:cs="Times New Roman"/>
      <w:sz w:val="28"/>
      <w:szCs w:val="28"/>
    </w:rPr>
  </w:style>
  <w:style w:type="character" w:styleId="911" w:customStyle="1">
    <w:name w:val="纯文本 Char"/>
    <w:link w:val="716"/>
    <w:uiPriority w:val="0"/>
    <w:qFormat/>
    <w:rPr>
      <w:rFonts w:ascii="宋体" w:hAnsi="Courier New" w:eastAsia="宋体" w:cs="Courier New"/>
      <w:szCs w:val="21"/>
    </w:rPr>
  </w:style>
  <w:style w:type="character" w:styleId="912" w:customStyle="1">
    <w:name w:val="日期 Char"/>
    <w:link w:val="718"/>
    <w:uiPriority w:val="0"/>
    <w:qFormat/>
    <w:rPr>
      <w:rFonts w:ascii="Times New Roman" w:hAnsi="Times New Roman" w:eastAsia="宋体" w:cs="Times New Roman"/>
      <w:sz w:val="24"/>
      <w:szCs w:val="24"/>
    </w:rPr>
  </w:style>
  <w:style w:type="character" w:styleId="913" w:customStyle="1">
    <w:name w:val="正文文本缩进 2 Char"/>
    <w:link w:val="719"/>
    <w:uiPriority w:val="0"/>
    <w:qFormat/>
    <w:rPr>
      <w:rFonts w:ascii="Arial" w:hAnsi="Arial" w:eastAsia="仿宋_GB2312" w:cs="Arial"/>
      <w:sz w:val="32"/>
      <w:szCs w:val="32"/>
    </w:rPr>
  </w:style>
  <w:style w:type="character" w:styleId="914" w:customStyle="1">
    <w:name w:val="批注框文本 Char"/>
    <w:link w:val="721"/>
    <w:uiPriority w:val="0"/>
    <w:semiHidden/>
    <w:qFormat/>
    <w:rPr>
      <w:rFonts w:ascii="Times New Roman" w:hAnsi="Times New Roman" w:eastAsia="宋体" w:cs="Times New Roman"/>
      <w:sz w:val="18"/>
      <w:szCs w:val="18"/>
    </w:rPr>
  </w:style>
  <w:style w:type="character" w:styleId="915" w:customStyle="1">
    <w:name w:val="页脚 Char"/>
    <w:link w:val="722"/>
    <w:uiPriority w:val="0"/>
    <w:qFormat/>
    <w:rPr>
      <w:rFonts w:ascii="Times New Roman" w:hAnsi="Times New Roman" w:eastAsia="宋体" w:cs="Times New Roman"/>
      <w:sz w:val="18"/>
      <w:szCs w:val="18"/>
    </w:rPr>
  </w:style>
  <w:style w:type="character" w:styleId="916" w:customStyle="1">
    <w:name w:val="页眉 Char"/>
    <w:link w:val="723"/>
    <w:uiPriority w:val="0"/>
    <w:qFormat/>
    <w:rPr>
      <w:rFonts w:ascii="Times New Roman" w:hAnsi="Times New Roman" w:eastAsia="宋体" w:cs="Times New Roman"/>
      <w:sz w:val="18"/>
      <w:szCs w:val="18"/>
    </w:rPr>
  </w:style>
  <w:style w:type="character" w:styleId="917" w:customStyle="1">
    <w:name w:val="正文文本缩进 3 Char"/>
    <w:link w:val="730"/>
    <w:uiPriority w:val="0"/>
    <w:qFormat/>
    <w:rPr>
      <w:rFonts w:ascii="Arial" w:hAnsi="Arial" w:eastAsia="仿宋_GB2312" w:cs="Arial"/>
      <w:color w:val="ffff00"/>
      <w:sz w:val="32"/>
      <w:szCs w:val="32"/>
    </w:rPr>
  </w:style>
  <w:style w:type="character" w:styleId="918" w:customStyle="1">
    <w:name w:val="正文文本 2 Char"/>
    <w:link w:val="734"/>
    <w:uiPriority w:val="0"/>
    <w:qFormat/>
    <w:rPr>
      <w:rFonts w:ascii="楷体_GB2312" w:hAnsi="Times New Roman" w:eastAsia="楷体_GB2312" w:cs="Times New Roman"/>
      <w:sz w:val="28"/>
      <w:szCs w:val="28"/>
    </w:rPr>
  </w:style>
  <w:style w:type="character" w:styleId="919" w:customStyle="1">
    <w:name w:val="批注主题 Char"/>
    <w:link w:val="738"/>
    <w:uiPriority w:val="0"/>
    <w:semiHidden/>
    <w:qFormat/>
    <w:rPr>
      <w:rFonts w:ascii="Times New Roman" w:hAnsi="Times New Roman" w:eastAsia="宋体" w:cs="Times New Roman"/>
      <w:b/>
      <w:bCs/>
      <w:szCs w:val="21"/>
    </w:rPr>
  </w:style>
  <w:style w:type="character" w:styleId="920" w:customStyle="1">
    <w:name w:val="正文首行缩进 Char"/>
    <w:link w:val="739"/>
    <w:uiPriority w:val="0"/>
    <w:qFormat/>
    <w:rPr>
      <w:rFonts w:ascii="仿宋_GB2312" w:hAnsi="Times New Roman" w:eastAsia="仿宋_GB2312" w:cs="Times New Roman"/>
      <w:sz w:val="30"/>
      <w:szCs w:val="30"/>
    </w:rPr>
  </w:style>
  <w:style w:type="paragraph" w:styleId="921" w:customStyle="1">
    <w:name w:val="索引 41"/>
    <w:basedOn w:val="688"/>
    <w:next w:val="688"/>
    <w:uiPriority w:val="0"/>
    <w:semiHidden/>
    <w:qFormat/>
    <w:pPr>
      <w:ind w:left="1260"/>
    </w:pPr>
    <w:rPr>
      <w:rFonts w:ascii="Calibri" w:hAnsi="Calibri" w:eastAsia="Calibri" w:cs="宋体"/>
      <w:sz w:val="20"/>
      <w:lang w:val="zh-CN"/>
    </w:rPr>
  </w:style>
  <w:style w:type="paragraph" w:styleId="922" w:customStyle="1">
    <w:name w:val="正文文本缩进11"/>
    <w:basedOn w:val="688"/>
    <w:next w:val="702"/>
    <w:uiPriority w:val="0"/>
    <w:qFormat/>
    <w:pPr>
      <w:ind w:firstLine="645"/>
    </w:pPr>
    <w:rPr>
      <w:rFonts w:ascii="楷体_GB2312" w:eastAsia="楷体_GB2312"/>
      <w:sz w:val="32"/>
      <w:szCs w:val="32"/>
    </w:rPr>
  </w:style>
  <w:style w:type="paragraph" w:styleId="923" w:customStyle="1">
    <w:name w:val="标题 41"/>
    <w:basedOn w:val="688"/>
    <w:next w:val="924"/>
    <w:uiPriority w:val="0"/>
    <w:qFormat/>
    <w:pPr>
      <w:keepLines/>
      <w:keepNext/>
      <w:spacing w:before="280" w:after="290" w:line="376" w:lineRule="auto"/>
      <w:outlineLvl w:val="3"/>
    </w:pPr>
    <w:rPr>
      <w:rFonts w:ascii="Arial" w:hAnsi="Arial" w:eastAsia="黑体" w:cs="Arial"/>
      <w:b/>
      <w:bCs/>
      <w:sz w:val="28"/>
      <w:szCs w:val="28"/>
    </w:rPr>
  </w:style>
  <w:style w:type="paragraph" w:styleId="924" w:customStyle="1">
    <w:name w:val="正文缩进1"/>
    <w:basedOn w:val="688"/>
    <w:uiPriority w:val="0"/>
    <w:qFormat/>
    <w:pPr>
      <w:ind w:firstLine="420"/>
    </w:pPr>
  </w:style>
  <w:style w:type="paragraph" w:styleId="925" w:customStyle="1">
    <w:name w:val="正文文本12"/>
    <w:basedOn w:val="688"/>
    <w:uiPriority w:val="1"/>
    <w:qFormat/>
    <w:pPr>
      <w:ind w:left="120"/>
    </w:pPr>
    <w:rPr>
      <w:rFonts w:ascii="宋体" w:hAnsi="宋体" w:cs="宋体"/>
      <w:lang w:val="zh-CN" w:bidi="zh-CN"/>
    </w:rPr>
  </w:style>
  <w:style w:type="character" w:styleId="926" w:customStyle="1">
    <w:name w:val="font5 Char"/>
    <w:uiPriority w:val="0"/>
    <w:qFormat/>
    <w:rPr>
      <w:rFonts w:ascii="宋体" w:hAnsi="宋体" w:eastAsia="宋体"/>
      <w:sz w:val="28"/>
      <w:szCs w:val="28"/>
      <w:lang w:val="en-US" w:eastAsia="zh-CN" w:bidi="ar-SA"/>
    </w:rPr>
  </w:style>
  <w:style w:type="character" w:styleId="927" w:customStyle="1">
    <w:name w:val="二级目录 Char"/>
    <w:link w:val="928"/>
    <w:uiPriority w:val="0"/>
    <w:qFormat/>
    <w:rPr>
      <w:b/>
      <w:sz w:val="30"/>
      <w:szCs w:val="28"/>
    </w:rPr>
  </w:style>
  <w:style w:type="paragraph" w:styleId="928" w:customStyle="1">
    <w:name w:val="二级目录"/>
    <w:next w:val="688"/>
    <w:link w:val="92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29" w:customStyle="1">
    <w:name w:val="列出段落 Char"/>
    <w:link w:val="930"/>
    <w:uiPriority w:val="0"/>
    <w:qFormat/>
    <w:rPr>
      <w:rFonts w:ascii="Calibri" w:hAnsi="Calibri"/>
      <w:sz w:val="24"/>
      <w:szCs w:val="24"/>
      <w:lang w:eastAsia="en-US" w:bidi="en-US"/>
    </w:rPr>
  </w:style>
  <w:style w:type="paragraph" w:styleId="930" w:customStyle="1">
    <w:name w:val="列出段落1"/>
    <w:basedOn w:val="688"/>
    <w:link w:val="929"/>
    <w:uiPriority w:val="0"/>
    <w:qFormat/>
    <w:pPr>
      <w:contextualSpacing/>
      <w:ind w:left="720"/>
      <w:jc w:val="left"/>
      <w:widowControl/>
    </w:pPr>
    <w:rPr>
      <w:rFonts w:ascii="Calibri" w:hAnsi="Calibri"/>
      <w:sz w:val="24"/>
      <w:szCs w:val="24"/>
      <w:lang w:eastAsia="en-US" w:bidi="en-US"/>
    </w:rPr>
  </w:style>
  <w:style w:type="paragraph" w:styleId="931" w:customStyle="1">
    <w:name w:val="Body Text(ch)"/>
    <w:basedOn w:val="688"/>
    <w:next w:val="710"/>
    <w:uiPriority w:val="0"/>
    <w:qFormat/>
    <w:pPr>
      <w:spacing w:after="120"/>
    </w:pPr>
    <w:rPr>
      <w:rFonts w:ascii="宋体" w:hAnsi="Arial"/>
      <w:bCs/>
      <w:iCs/>
      <w:szCs w:val="24"/>
    </w:rPr>
  </w:style>
  <w:style w:type="paragraph" w:styleId="932" w:customStyle="1">
    <w:name w:val="xl27"/>
    <w:basedOn w:val="68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3" w:customStyle="1">
    <w:name w:val="xl26"/>
    <w:basedOn w:val="6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4" w:customStyle="1">
    <w:name w:val="Char"/>
    <w:basedOn w:val="688"/>
    <w:uiPriority w:val="0"/>
    <w:qFormat/>
    <w:pPr>
      <w:ind w:firstLine="200"/>
      <w:tabs>
        <w:tab w:val="left" w:pos="360" w:leader="none"/>
      </w:tabs>
    </w:pPr>
    <w:rPr>
      <w:sz w:val="28"/>
      <w:szCs w:val="30"/>
    </w:rPr>
  </w:style>
  <w:style w:type="paragraph" w:styleId="935" w:customStyle="1">
    <w:name w:val=" Char"/>
    <w:basedOn w:val="707"/>
    <w:uiPriority w:val="0"/>
    <w:qFormat/>
    <w:rPr>
      <w:rFonts w:ascii="Tahoma" w:hAnsi="Tahoma"/>
      <w:sz w:val="24"/>
      <w:szCs w:val="24"/>
    </w:rPr>
  </w:style>
  <w:style w:type="paragraph" w:styleId="936"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937" w:customStyle="1">
    <w:name w:val="table_lines"/>
    <w:basedOn w:val="688"/>
    <w:uiPriority w:val="0"/>
    <w:qFormat/>
    <w:pPr>
      <w:jc w:val="left"/>
      <w:widowControl/>
    </w:pPr>
    <w:rPr>
      <w:sz w:val="20"/>
      <w:szCs w:val="20"/>
      <w:lang w:val="de-DE" w:eastAsia="de-DE"/>
    </w:rPr>
  </w:style>
  <w:style w:type="paragraph" w:styleId="93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9"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940" w:customStyle="1">
    <w:name w:val=" Char Char Char Char"/>
    <w:basedOn w:val="707"/>
    <w:uiPriority w:val="0"/>
    <w:qFormat/>
    <w:pPr>
      <w:spacing w:line="360" w:lineRule="auto"/>
    </w:pPr>
    <w:rPr>
      <w:rFonts w:ascii="Tahoma" w:hAnsi="Tahoma"/>
      <w:sz w:val="24"/>
      <w:szCs w:val="24"/>
    </w:rPr>
  </w:style>
  <w:style w:type="paragraph" w:styleId="941">
    <w:name w:val="List Paragraph"/>
    <w:basedOn w:val="688"/>
    <w:uiPriority w:val="0"/>
    <w:qFormat/>
    <w:pPr>
      <w:contextualSpacing/>
      <w:ind w:left="720"/>
      <w:jc w:val="left"/>
      <w:widowControl/>
    </w:pPr>
    <w:rPr>
      <w:rFonts w:ascii="Calibri" w:hAnsi="Calibri"/>
      <w:sz w:val="24"/>
      <w:szCs w:val="24"/>
      <w:lang w:eastAsia="en-US" w:bidi="en-US"/>
    </w:rPr>
  </w:style>
  <w:style w:type="paragraph" w:styleId="942" w:customStyle="1">
    <w:name w:val="4"/>
    <w:basedOn w:val="688"/>
    <w:next w:val="730"/>
    <w:uiPriority w:val="0"/>
    <w:qFormat/>
    <w:pPr>
      <w:ind w:firstLine="420"/>
      <w:spacing w:line="360" w:lineRule="auto"/>
    </w:pPr>
    <w:rPr>
      <w:color w:val="ff0000"/>
      <w:sz w:val="24"/>
      <w:szCs w:val="24"/>
    </w:rPr>
  </w:style>
  <w:style w:type="paragraph" w:styleId="943"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944" w:customStyle="1">
    <w:name w:val=" Char Char Char Char Char Char Char Char Char Char"/>
    <w:basedOn w:val="688"/>
    <w:uiPriority w:val="0"/>
    <w:qFormat/>
    <w:pPr>
      <w:spacing w:line="360" w:lineRule="auto"/>
    </w:pPr>
    <w:rPr>
      <w:sz w:val="24"/>
      <w:szCs w:val="20"/>
    </w:rPr>
  </w:style>
  <w:style w:type="paragraph" w:styleId="945" w:customStyle="1">
    <w:name w:val="样式1"/>
    <w:basedOn w:val="688"/>
    <w:uiPriority w:val="0"/>
    <w:qFormat/>
    <w:pPr>
      <w:numPr>
        <w:ilvl w:val="0"/>
        <w:numId w:val="3"/>
      </w:numPr>
    </w:pPr>
    <w:rPr>
      <w:rFonts w:ascii="宋体" w:hAnsi="宋体"/>
    </w:rPr>
  </w:style>
  <w:style w:type="paragraph" w:styleId="946"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947"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8"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9"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950" w:customStyle="1">
    <w:name w:val="xl24"/>
    <w:basedOn w:val="68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1" w:customStyle="1">
    <w:name w:val="xl29"/>
    <w:basedOn w:val="688"/>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52"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53" w:customStyle="1">
    <w:name w:val="xl28"/>
    <w:basedOn w:val="68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4" w:customStyle="1">
    <w:name w:val=" 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55"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956" w:customStyle="1">
    <w:name w:val="Char Char Char Char"/>
    <w:basedOn w:val="707"/>
    <w:uiPriority w:val="0"/>
    <w:qFormat/>
    <w:pPr>
      <w:spacing w:line="360" w:lineRule="auto"/>
    </w:pPr>
    <w:rPr>
      <w:rFonts w:ascii="Tahoma" w:hAnsi="Tahoma"/>
      <w:sz w:val="24"/>
      <w:szCs w:val="24"/>
    </w:rPr>
  </w:style>
  <w:style w:type="paragraph" w:styleId="957" w:customStyle="1">
    <w:name w:val="table_1stline"/>
    <w:basedOn w:val="688"/>
    <w:uiPriority w:val="0"/>
    <w:qFormat/>
    <w:pPr>
      <w:jc w:val="left"/>
      <w:spacing w:before="120"/>
      <w:widowControl/>
    </w:pPr>
    <w:rPr>
      <w:bCs/>
      <w:sz w:val="20"/>
      <w:szCs w:val="20"/>
      <w:lang w:val="de-DE" w:eastAsia="de-DE"/>
    </w:rPr>
  </w:style>
  <w:style w:type="paragraph" w:styleId="958"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959"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0" w:customStyle="1">
    <w:name w:val="Revision"/>
    <w:uiPriority w:val="99"/>
    <w:semiHidden/>
    <w:qFormat/>
    <w:rPr>
      <w:rFonts w:hint="default" w:ascii="Times New Roman" w:hAnsi="Times New Roman" w:eastAsia="宋体" w:cs="Times New Roman"/>
      <w:sz w:val="21"/>
      <w:szCs w:val="21"/>
      <w:lang w:val="en-US" w:eastAsia="zh-CN" w:bidi="ar-SA"/>
    </w:rPr>
  </w:style>
  <w:style w:type="paragraph" w:styleId="961">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2" w:customStyle="1">
    <w:name w:val="正文文本 211"/>
    <w:basedOn w:val="688"/>
    <w:uiPriority w:val="99"/>
    <w:qFormat/>
    <w:pPr>
      <w:jc w:val="center"/>
    </w:pPr>
    <w:rPr>
      <w:b/>
      <w:bCs/>
      <w:sz w:val="20"/>
      <w:szCs w:val="20"/>
    </w:rPr>
  </w:style>
  <w:style w:type="table" w:styleId="963" w:customStyle="1">
    <w:name w:val="Table Normal"/>
    <w:uiPriority w:val="0"/>
    <w:qFormat/>
    <w:tblPr>
      <w:tblCellMar>
        <w:left w:w="0" w:type="dxa"/>
        <w:top w:w="0" w:type="dxa"/>
        <w:right w:w="0" w:type="dxa"/>
        <w:bottom w:w="0" w:type="dxa"/>
      </w:tblCellMar>
    </w:tblPr>
  </w:style>
  <w:style w:type="paragraph" w:styleId="964" w:customStyle="1">
    <w:name w:val="正文文本1"/>
    <w:basedOn w:val="688"/>
    <w:next w:val="688"/>
    <w:uiPriority w:val="0"/>
    <w:semiHidden/>
    <w:qFormat/>
    <w:rPr>
      <w:rFonts w:ascii="Arial" w:hAnsi="Arial" w:eastAsia="Arial" w:cs="Arial"/>
      <w:lang w:eastAsia="en-US"/>
    </w:rPr>
  </w:style>
  <w:style w:type="paragraph" w:styleId="965" w:customStyle="1">
    <w:name w:val="纯文本1"/>
    <w:basedOn w:val="688"/>
    <w:uiPriority w:val="0"/>
    <w:qFormat/>
    <w:rPr>
      <w:rFonts w:ascii="宋体" w:hAnsi="Courier New" w:cs="Courier New"/>
    </w:rPr>
  </w:style>
  <w:style w:type="table" w:styleId="966" w:customStyle="1">
    <w:name w:val="网格型1"/>
    <w:basedOn w:val="967"/>
    <w:uiPriority w:val="0"/>
    <w:qFormat/>
    <w:pPr>
      <w:jc w:val="both"/>
      <w:widowControl w:val="off"/>
    </w:pPr>
    <w:tblPr>
      <w:tblCellMar>
        <w:left w:w="0" w:type="dxa"/>
        <w:top w:w="0" w:type="dxa"/>
        <w:right w:w="0" w:type="dxa"/>
        <w:bottom w:w="0" w:type="dxa"/>
      </w:tblCellMar>
    </w:tblPr>
  </w:style>
  <w:style w:type="table" w:styleId="967" w:customStyle="1">
    <w:name w:val="普通表格1"/>
    <w:uiPriority w:val="99"/>
    <w:unhideWhenUsed/>
    <w:qFormat/>
    <w:tblPr>
      <w:tblCellMar>
        <w:left w:w="0" w:type="dxa"/>
        <w:top w:w="0" w:type="dxa"/>
        <w:right w:w="0" w:type="dxa"/>
        <w:bottom w:w="0" w:type="dxa"/>
      </w:tblCellMar>
    </w:tblPr>
  </w:style>
  <w:style w:type="paragraph" w:styleId="968" w:customStyle="1">
    <w:name w:val="列表段落1"/>
    <w:basedOn w:val="688"/>
    <w:uiPriority w:val="0"/>
    <w:qFormat/>
    <w:pPr>
      <w:ind w:firstLine="420"/>
      <w:spacing w:line="360" w:lineRule="auto"/>
    </w:pPr>
    <w:rPr>
      <w:rFonts w:hint="eastAsia" w:ascii="微软雅黑" w:hAnsi="Calibri" w:eastAsia="微软雅黑"/>
      <w:sz w:val="24"/>
      <w:szCs w:val="22"/>
    </w:rPr>
  </w:style>
  <w:style w:type="paragraph" w:styleId="969" w:customStyle="1">
    <w:name w:val="U_正文2"/>
    <w:basedOn w:val="688"/>
    <w:uiPriority w:val="0"/>
    <w:qFormat/>
    <w:pPr>
      <w:ind w:firstLine="420"/>
      <w:spacing w:before="10" w:after="10" w:line="300" w:lineRule="auto"/>
    </w:pPr>
    <w:rPr>
      <w:rFonts w:ascii="宋体" w:hAnsi="宋体"/>
      <w:sz w:val="24"/>
      <w:szCs w:val="24"/>
    </w:rPr>
  </w:style>
  <w:style w:type="paragraph" w:styleId="970" w:customStyle="1">
    <w:name w:val="正文1"/>
    <w:basedOn w:val="688"/>
    <w:uiPriority w:val="0"/>
    <w:qFormat/>
    <w:pPr>
      <w:ind w:left="369" w:firstLine="369"/>
      <w:spacing w:line="318" w:lineRule="atLeast"/>
    </w:pPr>
    <w:rPr>
      <w:rFonts w:ascii="宋体" w:hAnsi="宋体"/>
      <w:sz w:val="24"/>
      <w:szCs w:val="24"/>
    </w:r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ZLY</dc:creator>
  <cp:lastModifiedBy>陈伟</cp:lastModifiedBy>
  <cp:revision>6</cp:revision>
  <dcterms:created xsi:type="dcterms:W3CDTF">2025-10-09T02:59:00Z</dcterms:created>
  <dcterms:modified xsi:type="dcterms:W3CDTF">2025-11-06T01:39:13Z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6117D6B7593F4B93B102EFC3A093D161</vt:lpwstr>
  </property>
  <property fmtid="{D5CDD505-2E9C-101B-9397-08002B2CF9AE}" pid="4" name="KSOTemplateDocerSaveRecord">
    <vt:lpwstr>eyJoZGlkIjoiMTRlMmVlZTU2NWJmNjYyYzFlYzdmMWQyZjY2MjgwOWUiLCJ1c2VySWQiOiIxMjA3OTU4OTE4In0=</vt:lpwstr>
  </property>
</Properties>
</file>